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22F" w:rsidRDefault="002C022F" w:rsidP="002C022F">
      <w:pPr>
        <w:pStyle w:val="NormalWeb"/>
        <w:spacing w:before="0" w:beforeAutospacing="0" w:after="0" w:afterAutospacing="0"/>
        <w:jc w:val="center"/>
        <w:rPr>
          <w:b/>
          <w:bCs/>
        </w:rPr>
      </w:pPr>
    </w:p>
    <w:p w:rsidR="002C022F" w:rsidRDefault="002C022F" w:rsidP="002C022F">
      <w:pPr>
        <w:pStyle w:val="NormalWeb"/>
        <w:spacing w:before="0" w:beforeAutospacing="0" w:after="0" w:afterAutospacing="0"/>
        <w:jc w:val="center"/>
        <w:rPr>
          <w:b/>
          <w:bCs/>
        </w:rPr>
      </w:pPr>
    </w:p>
    <w:p w:rsidR="00395C17" w:rsidRPr="00395C17" w:rsidRDefault="00395C17" w:rsidP="00395C17">
      <w:pPr>
        <w:spacing w:line="360" w:lineRule="auto"/>
        <w:jc w:val="center"/>
        <w:rPr>
          <w:rFonts w:ascii="Times New Roman" w:hAnsi="Times New Roman" w:cs="Times New Roman"/>
          <w:b/>
          <w:bCs/>
          <w:sz w:val="24"/>
          <w:szCs w:val="24"/>
        </w:rPr>
      </w:pPr>
      <w:r w:rsidRPr="00395C17">
        <w:rPr>
          <w:rFonts w:ascii="Times New Roman" w:hAnsi="Times New Roman" w:cs="Times New Roman"/>
          <w:b/>
          <w:bCs/>
          <w:sz w:val="24"/>
          <w:szCs w:val="24"/>
        </w:rPr>
        <w:t>O PAPEL DA CIÊNCIA DA ADMINISTRAÇÃO NA CONSTRUÇÃO DE PRÁTICAS EMPRESARIAIS SUSTENTÁVEIS</w:t>
      </w:r>
    </w:p>
    <w:p w:rsidR="00395C17" w:rsidRPr="00395C17" w:rsidRDefault="00395C17" w:rsidP="00395C17">
      <w:pPr>
        <w:spacing w:line="360" w:lineRule="auto"/>
        <w:jc w:val="center"/>
        <w:rPr>
          <w:rFonts w:ascii="Times New Roman" w:hAnsi="Times New Roman" w:cs="Times New Roman"/>
          <w:b/>
          <w:bCs/>
          <w:sz w:val="24"/>
          <w:szCs w:val="24"/>
        </w:rPr>
      </w:pPr>
    </w:p>
    <w:p w:rsidR="00395C17" w:rsidRPr="00395C17" w:rsidRDefault="00395C17" w:rsidP="00395C17">
      <w:pPr>
        <w:spacing w:line="360" w:lineRule="auto"/>
        <w:jc w:val="right"/>
        <w:rPr>
          <w:rFonts w:ascii="Times New Roman" w:hAnsi="Times New Roman" w:cs="Times New Roman"/>
          <w:sz w:val="24"/>
          <w:szCs w:val="24"/>
        </w:rPr>
      </w:pPr>
      <w:r w:rsidRPr="00395C17">
        <w:rPr>
          <w:rFonts w:ascii="Times New Roman" w:hAnsi="Times New Roman" w:cs="Times New Roman"/>
          <w:sz w:val="24"/>
          <w:szCs w:val="24"/>
        </w:rPr>
        <w:t xml:space="preserve">Thaynara Tavares da Cruz. Estudante da Escola Superior Madre Celeste (ESMAC). thaynaratavaresdacruz@gmail.com </w:t>
      </w:r>
    </w:p>
    <w:p w:rsidR="00395C17" w:rsidRPr="00395C17" w:rsidRDefault="00395C17" w:rsidP="00395C17">
      <w:pPr>
        <w:spacing w:line="360" w:lineRule="auto"/>
        <w:jc w:val="right"/>
        <w:rPr>
          <w:rFonts w:ascii="Times New Roman" w:hAnsi="Times New Roman" w:cs="Times New Roman"/>
          <w:sz w:val="24"/>
          <w:szCs w:val="24"/>
        </w:rPr>
      </w:pPr>
      <w:r w:rsidRPr="00395C17">
        <w:rPr>
          <w:rFonts w:ascii="Times New Roman" w:hAnsi="Times New Roman" w:cs="Times New Roman"/>
          <w:sz w:val="24"/>
          <w:szCs w:val="24"/>
        </w:rPr>
        <w:t>Kaio de Souza Reis da Rocha. Estudante da Escola Superior Madre Celeste (ESMAC). kaiosrr14@gmail.com</w:t>
      </w:r>
    </w:p>
    <w:p w:rsidR="00395C17" w:rsidRPr="00395C17" w:rsidRDefault="00395C17" w:rsidP="00395C17">
      <w:pPr>
        <w:spacing w:line="360" w:lineRule="auto"/>
        <w:jc w:val="right"/>
        <w:rPr>
          <w:rFonts w:ascii="Times New Roman" w:hAnsi="Times New Roman" w:cs="Times New Roman"/>
          <w:sz w:val="24"/>
          <w:szCs w:val="24"/>
        </w:rPr>
      </w:pPr>
      <w:r w:rsidRPr="00395C17">
        <w:rPr>
          <w:rFonts w:ascii="Times New Roman" w:hAnsi="Times New Roman" w:cs="Times New Roman"/>
          <w:sz w:val="24"/>
          <w:szCs w:val="24"/>
        </w:rPr>
        <w:t>Kauan Lima Neto. Estudante da Escola Superior Madre Celeste (ESMAC). kauanlimag22@gmail.com</w:t>
      </w:r>
    </w:p>
    <w:p w:rsidR="00395C17" w:rsidRPr="00395C17" w:rsidRDefault="00395C17" w:rsidP="00395C17">
      <w:pPr>
        <w:spacing w:line="360" w:lineRule="auto"/>
        <w:jc w:val="right"/>
        <w:rPr>
          <w:rFonts w:ascii="Times New Roman" w:hAnsi="Times New Roman" w:cs="Times New Roman"/>
          <w:sz w:val="24"/>
          <w:szCs w:val="24"/>
          <w:vertAlign w:val="superscript"/>
        </w:rPr>
      </w:pPr>
      <w:r w:rsidRPr="00395C17">
        <w:rPr>
          <w:rFonts w:ascii="Times New Roman" w:hAnsi="Times New Roman" w:cs="Times New Roman"/>
          <w:sz w:val="24"/>
          <w:szCs w:val="24"/>
        </w:rPr>
        <w:t>Jean Carlos Gonzalez Garcia. Estudante da Escola Superior Madre Celeste (ESMAC). jeancarlosgonzalezgarcias6@gmail.com</w:t>
      </w:r>
    </w:p>
    <w:p w:rsidR="00395C17" w:rsidRPr="00395C17" w:rsidRDefault="00395C17" w:rsidP="00395C17">
      <w:pPr>
        <w:spacing w:line="360" w:lineRule="auto"/>
        <w:rPr>
          <w:rFonts w:ascii="Times New Roman" w:hAnsi="Times New Roman" w:cs="Times New Roman"/>
          <w:sz w:val="24"/>
          <w:szCs w:val="24"/>
          <w:vertAlign w:val="superscript"/>
        </w:rPr>
      </w:pPr>
    </w:p>
    <w:p w:rsidR="00395C17" w:rsidRP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RESUMO</w:t>
      </w:r>
    </w:p>
    <w:p w:rsidR="00395C17" w:rsidRPr="00395C17" w:rsidRDefault="00395C17" w:rsidP="00395C17">
      <w:pPr>
        <w:spacing w:line="240" w:lineRule="auto"/>
        <w:jc w:val="both"/>
        <w:rPr>
          <w:rFonts w:ascii="Times New Roman" w:hAnsi="Times New Roman" w:cs="Times New Roman"/>
          <w:color w:val="000000" w:themeColor="text1"/>
          <w:sz w:val="20"/>
          <w:szCs w:val="20"/>
        </w:rPr>
      </w:pPr>
      <w:r w:rsidRPr="00395C17">
        <w:rPr>
          <w:rFonts w:ascii="Times New Roman" w:hAnsi="Times New Roman" w:cs="Times New Roman"/>
          <w:color w:val="000000" w:themeColor="text1"/>
          <w:sz w:val="20"/>
          <w:szCs w:val="20"/>
        </w:rPr>
        <w:t>A pesquisa tem como tema o papel da ciência da administração na construção de práticas empresariais sustentáveis diante das mudanças climáticas. O objetivo consiste em analisar como as estratégias administrativas e a atuação dos gestores podem contribuir para a preservação ambiental e para o desenvolvimento sustentável nas organizações. O estudo foi realizado por meio de pesquisas em artigos científicos, relatórios institucionais, legislações e conteúdos relacionados à sustentabilidade empresarial, além da análise de práticas adotadas por empresas como Natura, Ambev e Petrobras. Durante a pesquisa, foram abordadas estratégias administrativas como ESG, economia circular, gestão de emissões e responsabilidade social corporativa (RSC), destacando seus impactos na gestão organizacional e na redução dos impactos ambientais. Os resultados demonstraram que empresas que investem em práticas sustentáveis conseguem alinhar desenvolvimento econômico, responsabilidade social e preservação ambiental, fortalecendo sua competitividade e imagem no mercado. Conclui-se que a ciência da administração possui papel estratégico no enfrentamento da crise climática, sendo fundamental para a formação de gestores éticos, conscientes e preparados para implementar práticas sustentáveis nas organizações.</w:t>
      </w:r>
    </w:p>
    <w:p w:rsidR="00395C17" w:rsidRPr="00395C17" w:rsidRDefault="00395C17" w:rsidP="00395C17">
      <w:pPr>
        <w:spacing w:line="240" w:lineRule="auto"/>
        <w:jc w:val="both"/>
        <w:rPr>
          <w:rFonts w:ascii="Times New Roman" w:hAnsi="Times New Roman" w:cs="Times New Roman"/>
          <w:color w:val="000000" w:themeColor="text1"/>
          <w:sz w:val="20"/>
          <w:szCs w:val="20"/>
        </w:rPr>
      </w:pPr>
    </w:p>
    <w:p w:rsidR="00395C17" w:rsidRPr="00395C17" w:rsidRDefault="00395C17" w:rsidP="00395C17">
      <w:pPr>
        <w:spacing w:line="240" w:lineRule="auto"/>
        <w:jc w:val="both"/>
        <w:rPr>
          <w:rFonts w:ascii="Times New Roman" w:hAnsi="Times New Roman" w:cs="Times New Roman"/>
          <w:color w:val="000000" w:themeColor="text1"/>
          <w:sz w:val="20"/>
          <w:szCs w:val="20"/>
          <w:lang w:val="en-US"/>
        </w:rPr>
      </w:pPr>
      <w:r w:rsidRPr="00395C17">
        <w:rPr>
          <w:rFonts w:ascii="Times New Roman" w:hAnsi="Times New Roman" w:cs="Times New Roman"/>
          <w:color w:val="000000" w:themeColor="text1"/>
          <w:sz w:val="20"/>
          <w:szCs w:val="20"/>
        </w:rPr>
        <w:t xml:space="preserve">Palavras-Chaves: Ciência da Administração. Sustentabilidade. Práticas Empresariais. Gestão Empresarial. </w:t>
      </w:r>
      <w:r w:rsidRPr="00395C17">
        <w:rPr>
          <w:rFonts w:ascii="Times New Roman" w:hAnsi="Times New Roman" w:cs="Times New Roman"/>
          <w:color w:val="000000" w:themeColor="text1"/>
          <w:sz w:val="20"/>
          <w:szCs w:val="20"/>
          <w:lang w:val="en-US"/>
        </w:rPr>
        <w:t>Mudanças Climáticas. Estratégias Administrativas.</w:t>
      </w:r>
    </w:p>
    <w:p w:rsidR="00395C17" w:rsidRPr="00395C17" w:rsidRDefault="00395C17" w:rsidP="00395C17">
      <w:pPr>
        <w:spacing w:line="240" w:lineRule="auto"/>
        <w:jc w:val="both"/>
        <w:rPr>
          <w:rFonts w:ascii="Times New Roman" w:hAnsi="Times New Roman" w:cs="Times New Roman"/>
          <w:sz w:val="20"/>
          <w:szCs w:val="20"/>
          <w:lang w:val="en-US"/>
        </w:rPr>
      </w:pPr>
    </w:p>
    <w:p w:rsidR="00395C17" w:rsidRPr="00395C17" w:rsidRDefault="00395C17" w:rsidP="00395C17">
      <w:pPr>
        <w:spacing w:line="240" w:lineRule="auto"/>
        <w:jc w:val="both"/>
        <w:rPr>
          <w:rFonts w:ascii="Times New Roman" w:hAnsi="Times New Roman" w:cs="Times New Roman"/>
          <w:b/>
          <w:bCs/>
          <w:sz w:val="20"/>
          <w:szCs w:val="20"/>
          <w:lang w:val="en-US"/>
        </w:rPr>
      </w:pPr>
      <w:r w:rsidRPr="00395C17">
        <w:rPr>
          <w:rFonts w:ascii="Times New Roman" w:hAnsi="Times New Roman" w:cs="Times New Roman"/>
          <w:b/>
          <w:bCs/>
          <w:sz w:val="20"/>
          <w:szCs w:val="20"/>
          <w:lang w:val="en-US"/>
        </w:rPr>
        <w:t>ABSTRACT</w:t>
      </w:r>
    </w:p>
    <w:p w:rsidR="00395C17" w:rsidRPr="00395C17" w:rsidRDefault="00395C17" w:rsidP="00395C17">
      <w:pPr>
        <w:spacing w:line="240" w:lineRule="auto"/>
        <w:jc w:val="both"/>
        <w:rPr>
          <w:rFonts w:ascii="Times New Roman" w:hAnsi="Times New Roman" w:cs="Times New Roman"/>
          <w:sz w:val="20"/>
          <w:szCs w:val="20"/>
          <w:lang w:val="en-US"/>
        </w:rPr>
      </w:pPr>
      <w:r w:rsidRPr="00395C17">
        <w:rPr>
          <w:rFonts w:ascii="Times New Roman" w:hAnsi="Times New Roman" w:cs="Times New Roman"/>
          <w:sz w:val="20"/>
          <w:szCs w:val="20"/>
          <w:lang w:val="en-US"/>
        </w:rPr>
        <w:t>The research focuses on the role of management science in developing sustainable business practices in the face of climate change. The objective is to analyze how management strategies and the actions of managers can contribute to environmental preservation and sustainable development within organizations. The study was conducted through research into scientific articles, institutional reports, legislation, and content related to corporate sustainability, as well as an analysis of practices adopted by companies such as Natura, Ambev, and Petrobras. During the research, management strategies such as ESG, the circular economy, emissions management, and corporate social responsibility (CSR) were addressed, highlighting their impact on organizational management and the reduction of environmental impacts. The results demonstrated that companies that invest in sustainable practices can align economic development, social responsibility, and environmental preservation, thereby strengthening their competitiveness and market image. It is concluded that the science of administration plays a strategic role in addressing the climate crisis, being fundamental to the training of ethical, conscious managers who are prepared to implement sustainable practices in organizations.</w:t>
      </w:r>
    </w:p>
    <w:p w:rsidR="00395C17" w:rsidRPr="00395C17" w:rsidRDefault="00395C17" w:rsidP="00395C17">
      <w:pPr>
        <w:spacing w:line="240" w:lineRule="auto"/>
        <w:jc w:val="both"/>
        <w:rPr>
          <w:rFonts w:ascii="Times New Roman" w:hAnsi="Times New Roman" w:cs="Times New Roman"/>
          <w:sz w:val="20"/>
          <w:szCs w:val="20"/>
          <w:lang w:val="en-US"/>
        </w:rPr>
      </w:pPr>
    </w:p>
    <w:p w:rsidR="00395C17" w:rsidRPr="00395C17" w:rsidRDefault="00395C17" w:rsidP="00395C17">
      <w:pPr>
        <w:spacing w:line="240" w:lineRule="auto"/>
        <w:jc w:val="both"/>
        <w:rPr>
          <w:rFonts w:ascii="Times New Roman" w:hAnsi="Times New Roman" w:cs="Times New Roman"/>
          <w:sz w:val="20"/>
          <w:szCs w:val="20"/>
        </w:rPr>
      </w:pPr>
      <w:r w:rsidRPr="00395C17">
        <w:rPr>
          <w:rFonts w:ascii="Times New Roman" w:hAnsi="Times New Roman" w:cs="Times New Roman"/>
          <w:sz w:val="20"/>
          <w:szCs w:val="20"/>
          <w:lang w:val="en-US"/>
        </w:rPr>
        <w:t xml:space="preserve">Keywords: Science of Administration. Sustainability. Business Practices. Business Management. Climate Change. </w:t>
      </w:r>
      <w:r w:rsidRPr="00395C17">
        <w:rPr>
          <w:rFonts w:ascii="Times New Roman" w:hAnsi="Times New Roman" w:cs="Times New Roman"/>
          <w:sz w:val="20"/>
          <w:szCs w:val="20"/>
        </w:rPr>
        <w:t>Administrative Strategies.</w:t>
      </w:r>
    </w:p>
    <w:p w:rsidR="00395C17" w:rsidRPr="00395C17" w:rsidRDefault="00395C17" w:rsidP="00395C17">
      <w:pPr>
        <w:spacing w:line="360" w:lineRule="auto"/>
        <w:jc w:val="both"/>
        <w:rPr>
          <w:rFonts w:ascii="Times New Roman" w:hAnsi="Times New Roman" w:cs="Times New Roman"/>
          <w:sz w:val="24"/>
          <w:szCs w:val="24"/>
        </w:rPr>
      </w:pPr>
    </w:p>
    <w:p w:rsidR="00395C17" w:rsidRP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lastRenderedPageBreak/>
        <w:t>INTRODUÇÃO</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As mudanças climáticas configuram-se como um dos maiores desafios do século XXI, resultantes de alterações significativas no ecossistema da Terra, provocadas, em grande parte, pelo ser humano. O aumento da emissão de gases de efeito estufa, decorrente da queima de combustíveis fósseis, do desmatamento e da produção industrial, intensifica o aquecimento global e a ocorrência de eventos climáticos extremos. Esse cenário afeta diretamente o meio ambiente, economias e sociedades, exigindo ações urgentes para mitigar seus efeitos e adaptar sistemas produtivos e sociais às novas condições ambientais.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Nesse contexto, o conceito de sustentabilidade adquire relevância como caminho estratégico para equilibrar desenvolvimento econômico, justiça social e preservação ambiental. Definida como a capacidade de atender às necessidades do presente sem comprometer as gerações futuras, a sustentabilidade orienta políticas públicas, movimentos sociais e, cada vez mais, práticas empresariais.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Dessa forma, a sustentabilidade deve ser compreendida como compromisso ético e não apenas como vantagem competitiva (BARBIERI, 2016). Portanto, compreender a administração, o papel do administrador e a evolução das abordagens até as práticas sustentáveis possibilita compreender como o gestor pode utilizar a ciência administrativa como ferramenta de transformação diante dos desafios ambientais contemporâneos.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Diante do exposto, a presente pesquisa propõe a seguinte questão: como a ciência da administração influencia administradores na construção de práticas empresariais voltadas à sustentabilidade e à mitigação das mudanças climáticas?</w:t>
      </w:r>
      <w:r w:rsidRPr="00395C17">
        <w:rPr>
          <w:rFonts w:ascii="Times New Roman" w:hAnsi="Times New Roman" w:cs="Times New Roman"/>
          <w:color w:val="EE0000"/>
          <w:sz w:val="24"/>
          <w:szCs w:val="24"/>
        </w:rPr>
        <w:t xml:space="preserve"> </w:t>
      </w:r>
      <w:r w:rsidRPr="00395C17">
        <w:rPr>
          <w:rFonts w:ascii="Times New Roman" w:hAnsi="Times New Roman" w:cs="Times New Roman"/>
          <w:sz w:val="24"/>
          <w:szCs w:val="24"/>
        </w:rPr>
        <w:t>O objetivo geral consiste em analisar as estratégias administrativas que tem como objetivo a preservação ambiental. Os objetivos específicos compreendem: evidenciar a importância dos administradores no processo de tomada de decisões empresariais estratégicas e avaliar práticas sustentáveis implementadas por operações.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Para o alcance desses objetivos, este estudo adota o formato de ensaio acadêmico, buscando analisar e refletir acerca de como a ciência da administração e os profissionais da área podem contribuir para a adaptação das organizações frente às alterações do clima.</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Além disso, será feita uma análise crítica de práticas sustentáveis de empresas de destaque para verificar se suas atitudes geram impacto positivo na preservação ambiental ou se são utilizadas apenas como estratégia de marketing sem causar uma mudança significativa na natureza.</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lastRenderedPageBreak/>
        <w:t>O método de pesquisa utilizado fundamenta-se na abordagem descritiva e exploratória, com coleta de dados relativos à temática a partir de artigos científicos, opinião de especialistas do tema, legislações, relatórios institucionais, dentre outros.</w:t>
      </w:r>
    </w:p>
    <w:p w:rsid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Para além, este estudo se demonstra relevante em sua temática abordada tendo em vista a lacuna científica existente onde poucos estudos relacionam diretamente a ciência da administração com o enfrentamento da crise climática.</w:t>
      </w:r>
    </w:p>
    <w:p w:rsidR="00395C17" w:rsidRPr="00395C17" w:rsidRDefault="00395C17" w:rsidP="00395C17">
      <w:pPr>
        <w:spacing w:line="360" w:lineRule="auto"/>
        <w:ind w:firstLine="708"/>
        <w:jc w:val="both"/>
        <w:rPr>
          <w:rFonts w:ascii="Times New Roman" w:hAnsi="Times New Roman" w:cs="Times New Roman"/>
          <w:sz w:val="24"/>
          <w:szCs w:val="24"/>
        </w:rPr>
      </w:pPr>
    </w:p>
    <w:p w:rsid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A ADMINISTRAÇÃO MODERNA E A SUSTENTABILIDADE</w:t>
      </w:r>
    </w:p>
    <w:p w:rsidR="00395C17" w:rsidRPr="00395C17" w:rsidRDefault="00395C17" w:rsidP="00395C17">
      <w:pPr>
        <w:spacing w:line="360" w:lineRule="auto"/>
        <w:jc w:val="both"/>
        <w:rPr>
          <w:rFonts w:ascii="Times New Roman" w:hAnsi="Times New Roman" w:cs="Times New Roman"/>
          <w:b/>
          <w:bCs/>
          <w:sz w:val="24"/>
          <w:szCs w:val="24"/>
        </w:rPr>
      </w:pP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 administração contemporânea deixou de ser apenas uma disciplina voltada para resultados financeiros e eficiência operacional. Atualmente, sua atuação está cada vez mais associada à forma como as organizações respondem às novas demandas sociais. Isso ocorre porque a noção de sucesso empresarial vem se ampliando para além do lucro. A sustentabilidade consolidou-se como um novo parâmetro de legitimidade para empresas e instituições.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Um marco conceitual importante sobre o tema é o Relatório Brundtland, publicado pela ONU em 1987, que introduziu a noção de desenvolvimento sustentável. Esse documento redefiniu o papel das organizações no mundo globalizado ao enfatizar que crescimento econômico e preservação ambiental não são objetivos excludentes, mas complementares.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Para a administração, isso significa repensar práticas de planejamento, organização e controle, incorporando critérios ambientais e sociais ao processo de tomada de decisão. Desse modo, cabe aos gestores promover estratégias que integrem eficiência econômica e preservação ambiental.</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Uma dessas estratégias é conhecida como ESG (</w:t>
      </w:r>
      <w:r w:rsidRPr="00395C17">
        <w:rPr>
          <w:rFonts w:ascii="Times New Roman" w:hAnsi="Times New Roman" w:cs="Times New Roman"/>
          <w:i/>
          <w:iCs/>
          <w:sz w:val="24"/>
          <w:szCs w:val="24"/>
        </w:rPr>
        <w:t>Environmental, Social and Governance</w:t>
      </w:r>
      <w:r w:rsidRPr="00395C17">
        <w:rPr>
          <w:rFonts w:ascii="Times New Roman" w:hAnsi="Times New Roman" w:cs="Times New Roman"/>
          <w:sz w:val="24"/>
          <w:szCs w:val="24"/>
        </w:rPr>
        <w:t>) que se refere a critérios utilizados globalmente para avaliar o desempenho das empresas em relação às práticas ambientais, sociais e de governança, ampliando a análise para além dos indicadores financeiros tradicionais. A adoção dessas práticas contribui para maior sustentabilidade e desempenho organizacional no longo prazo (ARAÚJO; FILHO; FERNANDES, 2025).</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Além disso, o ESG tem se consolidado como uma estratégia relevante no cenário internacional, promovendo maior responsabilidade social e alinhamento entre as empresas e a sociedade civil (MARTINI; SCHREIBER, 2025).</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Entretanto, há questionamentos quanto à efetividade real do ESG, especialmente devido à ocorrência de </w:t>
      </w:r>
      <w:r w:rsidRPr="00395C17">
        <w:rPr>
          <w:rFonts w:ascii="Times New Roman" w:hAnsi="Times New Roman" w:cs="Times New Roman"/>
          <w:i/>
          <w:iCs/>
          <w:sz w:val="24"/>
          <w:szCs w:val="24"/>
        </w:rPr>
        <w:t>greenwashing</w:t>
      </w:r>
      <w:r w:rsidRPr="00395C17">
        <w:rPr>
          <w:rFonts w:ascii="Times New Roman" w:hAnsi="Times New Roman" w:cs="Times New Roman"/>
          <w:sz w:val="24"/>
          <w:szCs w:val="24"/>
        </w:rPr>
        <w:t xml:space="preserve">, em que empresas divulgam práticas sustentáveis sem mudanças </w:t>
      </w:r>
      <w:r w:rsidRPr="00395C17">
        <w:rPr>
          <w:rFonts w:ascii="Times New Roman" w:hAnsi="Times New Roman" w:cs="Times New Roman"/>
          <w:sz w:val="24"/>
          <w:szCs w:val="24"/>
        </w:rPr>
        <w:lastRenderedPageBreak/>
        <w:t>concretas. Outra questão, diz respeito a utilização dessa tática apenas como estratégia de marketing, o que compromete a credibilidade das organizações que a usam de maneira correta (SANTOS; MARTINS, 2020).</w:t>
      </w:r>
    </w:p>
    <w:p w:rsid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Dessa forma, observa-se que, embora o ESG seja uma ferramenta relevante no contexto global, sua aplicação ainda enfrenta desafios relacionados à transparência, padronização e impacto real nas organizações.</w:t>
      </w:r>
    </w:p>
    <w:p w:rsidR="00395C17" w:rsidRPr="00395C17" w:rsidRDefault="00395C17" w:rsidP="00395C17">
      <w:pPr>
        <w:spacing w:line="360" w:lineRule="auto"/>
        <w:ind w:firstLine="708"/>
        <w:jc w:val="both"/>
        <w:rPr>
          <w:rFonts w:ascii="Times New Roman" w:hAnsi="Times New Roman" w:cs="Times New Roman"/>
          <w:sz w:val="24"/>
          <w:szCs w:val="24"/>
        </w:rPr>
      </w:pPr>
    </w:p>
    <w:p w:rsidR="00395C17" w:rsidRP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 xml:space="preserve">AS ESTRATÉGIAS ADMINISTRATIVAS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A administração esteve presente ao longo da história, ainda que em diferentes formas e intensidades. Desde as primeiras civilizações, como egípcios e mesopotâmicos, já se observava a necessidade de organizar recursos e coordenar pessoas para alcançar objetivos coletivos. A administração é essencial para garantir eficiência na utilização de recursos (CHIAVENATO, 2014), aspecto que se mostra relevante tanto para a construção de pirâmides quanto para a manutenção de impérios.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Com a Revolução Industrial, a administração passou a ser estudada de forma sistemática, consolidando-se como ciência e originando teorias voltadas à produtividade, ao controle e aos resultados econômicos. Contudo, esse modelo, centrado exclusivamente no crescimento e no lucro, relegou a segundo plano os impactos ambientais e sociais decorrentes da industrialização.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Assim, apesar dos avanços promovidos, esse processo agravou problemas como poluição, esgotamento de recursos naturais e desigualdades sociais. A gestão, ao longo do tempo, precisou reinventar-se para enfrentar tais desafios e repensar seus objetivos (MAXIMIANO, 2017).</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Nesse contexto, a administração desempenha um papel central ao direcionar recursos, processos e pessoas para práticas que reduzam a degradação dos ecossistemas, promovendo a resiliência empresarial. Além disso, a integração de indicadores socioambientais aos sistemas de avaliação de desempenho permite que as organizações monitorem e ajustem suas práticas de acordo com os objetivos de mitigação climática.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Assim, o papel da liderança torna-se essencial, pois, gestores conscientes orientam suas equipes para a adoção de comportamentos alinhados às metas estabelecidas.</w:t>
      </w:r>
    </w:p>
    <w:p w:rsid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Abaixo segue um quadro com algumas das principais estratégias administrativas no enfrentamento da crise climática:</w:t>
      </w:r>
    </w:p>
    <w:p w:rsidR="00395C17" w:rsidRPr="00395C17" w:rsidRDefault="00395C17" w:rsidP="00395C17">
      <w:pPr>
        <w:spacing w:line="360" w:lineRule="auto"/>
        <w:ind w:firstLine="708"/>
        <w:jc w:val="both"/>
        <w:rPr>
          <w:rFonts w:ascii="Times New Roman" w:hAnsi="Times New Roman" w:cs="Times New Roman"/>
          <w:sz w:val="24"/>
          <w:szCs w:val="24"/>
        </w:rPr>
      </w:pPr>
    </w:p>
    <w:p w:rsidR="00395C17" w:rsidRDefault="00395C17" w:rsidP="00395C17">
      <w:pPr>
        <w:spacing w:line="360" w:lineRule="auto"/>
      </w:pPr>
      <w:r>
        <w:rPr>
          <w:b/>
          <w:bCs/>
        </w:rPr>
        <w:lastRenderedPageBreak/>
        <w:t xml:space="preserve">Quadro 1: </w:t>
      </w:r>
      <w:r>
        <w:t>principais estratégias administrativas sustentáveis.</w:t>
      </w:r>
    </w:p>
    <w:sdt>
      <w:sdtPr>
        <w:tag w:val="goog_rdk_0"/>
        <w:id w:val="1926078683"/>
        <w:lock w:val="contentLocked"/>
      </w:sdtPr>
      <w:sdtContent>
        <w:tbl>
          <w:tblPr>
            <w:tblW w:w="907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00" w:firstRow="0" w:lastRow="0" w:firstColumn="0" w:lastColumn="0" w:noHBand="1" w:noVBand="1"/>
          </w:tblPr>
          <w:tblGrid>
            <w:gridCol w:w="2268"/>
            <w:gridCol w:w="2268"/>
            <w:gridCol w:w="2269"/>
            <w:gridCol w:w="2269"/>
          </w:tblGrid>
          <w:tr w:rsidR="00395C17" w:rsidTr="002A5EA8">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b/>
                    <w:bCs/>
                    <w:sz w:val="24"/>
                    <w:szCs w:val="24"/>
                  </w:rPr>
                </w:pPr>
                <w:r>
                  <w:rPr>
                    <w:b/>
                    <w:bCs/>
                    <w:sz w:val="24"/>
                    <w:szCs w:val="24"/>
                  </w:rPr>
                  <w:t>ESTRATÉGIA</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b/>
                    <w:bCs/>
                    <w:sz w:val="24"/>
                    <w:szCs w:val="24"/>
                  </w:rPr>
                </w:pPr>
                <w:r>
                  <w:rPr>
                    <w:b/>
                    <w:bCs/>
                    <w:sz w:val="24"/>
                    <w:szCs w:val="24"/>
                  </w:rPr>
                  <w:t>CONCEITO</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b/>
                    <w:bCs/>
                    <w:sz w:val="24"/>
                    <w:szCs w:val="24"/>
                  </w:rPr>
                </w:pPr>
                <w:r>
                  <w:rPr>
                    <w:b/>
                    <w:bCs/>
                    <w:sz w:val="24"/>
                    <w:szCs w:val="24"/>
                  </w:rPr>
                  <w:t>VANTAGENS</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b/>
                    <w:bCs/>
                    <w:sz w:val="24"/>
                    <w:szCs w:val="24"/>
                  </w:rPr>
                </w:pPr>
                <w:r>
                  <w:rPr>
                    <w:b/>
                    <w:bCs/>
                    <w:sz w:val="24"/>
                    <w:szCs w:val="24"/>
                  </w:rPr>
                  <w:t>DESVANTAGENS</w:t>
                </w:r>
              </w:p>
            </w:tc>
          </w:tr>
          <w:tr w:rsidR="00395C17" w:rsidTr="002A5EA8">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Economia Circular</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Busca otimizar o uso de recursos, mantendo produtos, materiais e insumos em circulação pelo maior tempo possível.</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Redução de resíduos e de extração de recursos naturais, diminuição dos impactos ambientais, geração de eficiência produtiva e de inovação.</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Elevados custos iniciais de adaptação dos processos produtivos, a necessidade de investimentos em inovação tecnológica e logística reversa, além da resistência cultural e organizacional em abandonar o modelo linear.</w:t>
                </w:r>
              </w:p>
            </w:tc>
          </w:tr>
          <w:tr w:rsidR="00395C17" w:rsidTr="002A5EA8">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Gestão de emissão</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Conjunto de práticas e estratégias adotadas por organizações e governos para identificar, monitorar, controlar e reduzir a liberação de poluentes e gases de efeito estufa na atmosfera.</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Redução de impactos ambientais e climáticos, melhoria da qualidade do ar e da saúde pública, além de fortalecer a imagem sustentável das organizações.</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Altos custos iniciais de implantação de tecnologias limpas, necessidade de investimentos em monitoramento e atualização de processos e manter a conformidade em setores altamente poluentes.</w:t>
                </w:r>
              </w:p>
            </w:tc>
          </w:tr>
          <w:tr w:rsidR="00395C17" w:rsidTr="002A5EA8">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RSC</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É uma abordagem de gestão na qual as empresas assumem o compromisso de conduzir suas atividades de forma ética e sustentável, levando em consideração os impactos econômicos, sociais e ambientais de suas ações.</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Melhoria da reputação da empresa, fortalecimento do relacionamento com clientes e comunidades, aumento da motivação e retenção dos colaboradores, além da criação de oportunidades de inovação e competitividade.</w:t>
                </w:r>
              </w:p>
            </w:tc>
            <w:tc>
              <w:tcPr>
                <w:tcW w:w="2268" w:type="dxa"/>
                <w:tcMar>
                  <w:top w:w="100" w:type="dxa"/>
                  <w:left w:w="100" w:type="dxa"/>
                  <w:bottom w:w="100" w:type="dxa"/>
                  <w:right w:w="100" w:type="dxa"/>
                </w:tcMar>
              </w:tcPr>
              <w:p w:rsidR="00395C17" w:rsidRDefault="00395C17" w:rsidP="002A5EA8">
                <w:pPr>
                  <w:pBdr>
                    <w:top w:val="nil"/>
                    <w:left w:val="nil"/>
                    <w:bottom w:val="nil"/>
                    <w:right w:val="nil"/>
                    <w:between w:val="nil"/>
                  </w:pBdr>
                  <w:spacing w:line="240" w:lineRule="auto"/>
                  <w:rPr>
                    <w:sz w:val="24"/>
                    <w:szCs w:val="24"/>
                  </w:rPr>
                </w:pPr>
                <w:r>
                  <w:rPr>
                    <w:sz w:val="24"/>
                    <w:szCs w:val="24"/>
                  </w:rPr>
                  <w:t>Aumento de custos operacionais para implementar práticas sustentáveis, necessidade de investimentos contínuos em projetos sociais e ambientais e possíveis dificuldades em medir resultados a longo prazo.</w:t>
                </w:r>
              </w:p>
            </w:tc>
          </w:tr>
        </w:tbl>
      </w:sdtContent>
    </w:sdt>
    <w:p w:rsidR="00395C17" w:rsidRDefault="00395C17" w:rsidP="00395C17">
      <w:pPr>
        <w:spacing w:line="360" w:lineRule="auto"/>
      </w:pPr>
      <w:r>
        <w:rPr>
          <w:b/>
          <w:bCs/>
        </w:rPr>
        <w:lastRenderedPageBreak/>
        <w:t xml:space="preserve">Fonte: </w:t>
      </w:r>
      <w:r>
        <w:t>autor da pesquisa.</w:t>
      </w:r>
    </w:p>
    <w:p w:rsidR="00395C17" w:rsidRDefault="00395C17" w:rsidP="00395C17">
      <w:pPr>
        <w:spacing w:line="360" w:lineRule="auto"/>
        <w:rPr>
          <w:sz w:val="24"/>
          <w:szCs w:val="24"/>
        </w:rPr>
      </w:pP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As estratégias apresentadas acima focam em aspectos diferentes do combate à crise climática. A Economia Circular tem como foco os resíduos produzidos, buscando afastar-se do ciclo linear de “extrair, produzir e descartar”. Seus objetivos são manter o valor dos produtos, otimizar a gestão de estoques e aumentar a eficiência do uso de bens. Além disso, ela introduz a figura do proprietário-usuário que, a partir do momento que adquire um bem, terá a opção de otimizar ou não o uso dele por meio da reutilização, reparo e remanufatura (STAHEL, 2019).</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Desse modo, a utilização em larga escala de recursos naturais, o descarte e o desperdício de produtos seriam evitados, uma vez que um ciclo de reaproveitamento de material seria estabelecido. Essa é uma alternativa para as grandes indústrias, principalmente as que utilizam plástico, para evitar a geração de resíduos.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Por outro lado, a gestão de emissões dá ênfase à redução dos gases que contribuem para o agravamento do efeito estufa, o aquecimento global e a poluição da atmosfera. A adoção dessas práticas requer investimentos em tecnologias e pode gerar impactos imediatos na organização.</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Porém, mesmo com os custos de reorganizar toda a cadeia produtiva, no longo prazo, os benefícios de agir no caminho da preservação e gestão dos poluentes são muito mais vantajosos do que os custos futuros da inércia, já que as consequências das mudanças climáticas afetarão milhões de pessoas no mundo todo, o que pode levar a uma recessão econômica pior do que as vividas no século XX (STERN, 2006).</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No entanto, os diversos estudos científicos durante a primeira década do século XXI foram ignorados. O planeta observou a temperatura média global aumentar ano após ano e os eventos climáticos extremos se intensificarem. A partir desse cenário, mais organizações passaram a se preocupar com o tema e a mudar seus processos.</w:t>
      </w:r>
    </w:p>
    <w:p w:rsid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Nesse contexto de preocupação com os impactos ambientais e sociais, surge a Responsabilidade Social Corporativa (RSC). Ela é vista como uma estratégia de sobrevivência das organizações que, ao investirem em projetos sociais para comunidades locais (onde estão seus possíveis clientes) e em seus funcionários, cultivam uma relação de confiança mútua (FREEMAN, 2010).</w:t>
      </w:r>
    </w:p>
    <w:p w:rsidR="00395C17" w:rsidRDefault="00395C17" w:rsidP="00395C17">
      <w:pPr>
        <w:spacing w:line="360" w:lineRule="auto"/>
        <w:ind w:firstLine="708"/>
        <w:jc w:val="both"/>
        <w:rPr>
          <w:rFonts w:ascii="Times New Roman" w:hAnsi="Times New Roman" w:cs="Times New Roman"/>
          <w:sz w:val="24"/>
          <w:szCs w:val="24"/>
        </w:rPr>
      </w:pPr>
    </w:p>
    <w:p w:rsidR="00395C17" w:rsidRDefault="00395C17" w:rsidP="00395C17">
      <w:pPr>
        <w:spacing w:line="360" w:lineRule="auto"/>
        <w:ind w:firstLine="708"/>
        <w:jc w:val="both"/>
        <w:rPr>
          <w:rFonts w:ascii="Times New Roman" w:hAnsi="Times New Roman" w:cs="Times New Roman"/>
          <w:sz w:val="24"/>
          <w:szCs w:val="24"/>
        </w:rPr>
      </w:pPr>
      <w:bookmarkStart w:id="0" w:name="_GoBack"/>
      <w:bookmarkEnd w:id="0"/>
    </w:p>
    <w:p w:rsidR="00395C17" w:rsidRPr="00395C17" w:rsidRDefault="00395C17" w:rsidP="00395C17">
      <w:pPr>
        <w:spacing w:line="360" w:lineRule="auto"/>
        <w:ind w:firstLine="708"/>
        <w:jc w:val="both"/>
        <w:rPr>
          <w:rFonts w:ascii="Times New Roman" w:hAnsi="Times New Roman" w:cs="Times New Roman"/>
          <w:sz w:val="24"/>
          <w:szCs w:val="24"/>
        </w:rPr>
      </w:pPr>
    </w:p>
    <w:p w:rsid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lastRenderedPageBreak/>
        <w:t xml:space="preserve">O DESENVOLVIMENTO SUSTENTÁVEL NAS ORGANIZAÇÕES </w:t>
      </w:r>
    </w:p>
    <w:p w:rsidR="00395C17" w:rsidRPr="00395C17" w:rsidRDefault="00395C17" w:rsidP="00395C17">
      <w:pPr>
        <w:spacing w:line="360" w:lineRule="auto"/>
        <w:jc w:val="both"/>
        <w:rPr>
          <w:rFonts w:ascii="Times New Roman" w:hAnsi="Times New Roman" w:cs="Times New Roman"/>
          <w:b/>
          <w:bCs/>
          <w:sz w:val="24"/>
          <w:szCs w:val="24"/>
        </w:rPr>
      </w:pP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A partir da década de 1970, observa-se um crescente movimento global de preocupação com a degradação do meio ambiente, tendo como marco a Conferência das Nações Unidas sobre o Meio Ambiente Humano, realizada em Estocolmo, em 1972. Esse evento é considerado o primeiro encontro global totalmente dedicado às questões ambientais, reunindo representantes de mais de 100 países. Dele resultou a importante Declaração de Estocolmo e a criação do Programa das Nações Unidas para o Meio Ambiente (PNUMA). Um dos principais autores dessa temática é Ignacy Sachs.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Segundo Sachs (2000), o “ecodesenvolvimento” tem por concepção o desenvolvimento como uma combinação de crescimento econômico, aumento igualitário do bem-estar social e preservação ambiental. A proposta considera que o desenvolvimento sustentável tem cinco dimensões, sendo elas: social, econômica, ecológica, territorial ou espacial e cultural. Logo, todo planejamento estratégico organizacional, deve levar em consideração essas dimensões.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 Na administração, a gestão sustentável, relaciona-se por uma coordenação integrada e multidimensional das atividades humanas e produtivas, superando a visão estrita de crescimento econômico. Para os administradores, Sachs (2000) introduz a necessidade de planejar não apenas para o lucro, mas também a sustentabilidade. </w:t>
      </w:r>
    </w:p>
    <w:p w:rsid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Em suma, o elo é de transformação das práticas administrativas, que passam a incorporar o paradigma do desenvolvimento sustentável como diretriz central na alocação de recursos e na estratégia empresarial, buscando um crescimento que satisfaça as necessidades da empresa sem destruir o meio ambiente. </w:t>
      </w:r>
    </w:p>
    <w:p w:rsidR="00395C17" w:rsidRPr="00395C17" w:rsidRDefault="00395C17" w:rsidP="00395C17">
      <w:pPr>
        <w:spacing w:line="360" w:lineRule="auto"/>
        <w:ind w:firstLine="708"/>
        <w:jc w:val="both"/>
        <w:rPr>
          <w:rFonts w:ascii="Times New Roman" w:hAnsi="Times New Roman" w:cs="Times New Roman"/>
          <w:sz w:val="24"/>
          <w:szCs w:val="24"/>
        </w:rPr>
      </w:pPr>
    </w:p>
    <w:p w:rsid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O PAPEL DO ADMINISTRADOR NA TOMADA DE DECISÕES</w:t>
      </w:r>
    </w:p>
    <w:p w:rsidR="00395C17" w:rsidRPr="00395C17" w:rsidRDefault="00395C17" w:rsidP="00395C17">
      <w:pPr>
        <w:spacing w:line="360" w:lineRule="auto"/>
        <w:jc w:val="both"/>
        <w:rPr>
          <w:rFonts w:ascii="Times New Roman" w:hAnsi="Times New Roman" w:cs="Times New Roman"/>
          <w:b/>
          <w:bCs/>
          <w:sz w:val="24"/>
          <w:szCs w:val="24"/>
        </w:rPr>
      </w:pPr>
    </w:p>
    <w:p w:rsidR="00395C17" w:rsidRPr="00395C17" w:rsidRDefault="00395C17" w:rsidP="00395C17">
      <w:pPr>
        <w:spacing w:line="360" w:lineRule="auto"/>
        <w:ind w:firstLine="709"/>
        <w:jc w:val="both"/>
        <w:rPr>
          <w:rFonts w:ascii="Times New Roman" w:hAnsi="Times New Roman" w:cs="Times New Roman"/>
          <w:sz w:val="24"/>
          <w:szCs w:val="24"/>
        </w:rPr>
      </w:pPr>
      <w:r w:rsidRPr="00395C17">
        <w:rPr>
          <w:rFonts w:ascii="Times New Roman" w:hAnsi="Times New Roman" w:cs="Times New Roman"/>
          <w:sz w:val="24"/>
          <w:szCs w:val="24"/>
        </w:rPr>
        <w:t xml:space="preserve">A teoria do </w:t>
      </w:r>
      <w:r w:rsidRPr="00395C17">
        <w:rPr>
          <w:rFonts w:ascii="Times New Roman" w:hAnsi="Times New Roman" w:cs="Times New Roman"/>
          <w:i/>
          <w:iCs/>
          <w:sz w:val="24"/>
          <w:szCs w:val="24"/>
        </w:rPr>
        <w:t>Triple Bottom Line</w:t>
      </w:r>
      <w:r w:rsidRPr="00395C17">
        <w:rPr>
          <w:rFonts w:ascii="Times New Roman" w:hAnsi="Times New Roman" w:cs="Times New Roman"/>
          <w:sz w:val="24"/>
          <w:szCs w:val="24"/>
        </w:rPr>
        <w:t xml:space="preserve"> (TBL), proposta por John Elkington, defende que o desempenho organizacional deve ser analisado em três dimensões: econômica, social e ambiental (ELKINGTON, 1997). Segundo o autor, empresas sustentáveis precisam gerar lucro, contribuir para a sociedade e reduzir impactos ambientais. Essa abordagem amplia a visão tradicional focada apenas nos resultados financeiros.</w:t>
      </w:r>
    </w:p>
    <w:p w:rsidR="00395C17" w:rsidRPr="00395C17" w:rsidRDefault="00395C17" w:rsidP="00395C17">
      <w:pPr>
        <w:spacing w:line="360" w:lineRule="auto"/>
        <w:ind w:firstLine="709"/>
        <w:jc w:val="both"/>
        <w:rPr>
          <w:rFonts w:ascii="Times New Roman" w:hAnsi="Times New Roman" w:cs="Times New Roman"/>
          <w:sz w:val="24"/>
          <w:szCs w:val="24"/>
        </w:rPr>
      </w:pPr>
      <w:r w:rsidRPr="00395C17">
        <w:rPr>
          <w:rFonts w:ascii="Times New Roman" w:hAnsi="Times New Roman" w:cs="Times New Roman"/>
          <w:sz w:val="24"/>
          <w:szCs w:val="24"/>
        </w:rPr>
        <w:t>Nesse sentido, no processo de tomada de decisão, o TBL auxilia administradores a considerar não somente custos e retorno econômico, mas também consequências sociais e ecológicas de longo prazo. Dessa forma, as decisões tornam-se mais estratégicas e equilibradas.</w:t>
      </w:r>
    </w:p>
    <w:p w:rsidR="00395C17" w:rsidRPr="00395C17" w:rsidRDefault="00395C17" w:rsidP="00395C17">
      <w:pPr>
        <w:spacing w:line="360" w:lineRule="auto"/>
        <w:ind w:firstLine="709"/>
        <w:jc w:val="both"/>
        <w:rPr>
          <w:rFonts w:ascii="Times New Roman" w:hAnsi="Times New Roman" w:cs="Times New Roman"/>
          <w:sz w:val="24"/>
          <w:szCs w:val="24"/>
        </w:rPr>
      </w:pPr>
      <w:r w:rsidRPr="00395C17">
        <w:rPr>
          <w:rFonts w:ascii="Times New Roman" w:hAnsi="Times New Roman" w:cs="Times New Roman"/>
          <w:sz w:val="24"/>
          <w:szCs w:val="24"/>
        </w:rPr>
        <w:lastRenderedPageBreak/>
        <w:t>Como aspecto positivo, esse modelo fortalece a reputação institucional, incentiva inovação, reduz riscos e contribui para a vantagem competitiva sustentável (SLAPER &amp; HALL, 2011). Entretanto, também apresenta limitações, como dificuldade de mensuração dos indicadores sociais e ambientais, conflitos entre rentabilidade e sustentabilidade e aplicação superficial apenas para melhorar a imagem empresarial.</w:t>
      </w:r>
    </w:p>
    <w:p w:rsidR="00395C17" w:rsidRPr="00395C17" w:rsidRDefault="00395C17" w:rsidP="00395C17">
      <w:pPr>
        <w:spacing w:line="360" w:lineRule="auto"/>
        <w:ind w:firstLine="709"/>
        <w:jc w:val="both"/>
        <w:rPr>
          <w:rFonts w:ascii="Times New Roman" w:hAnsi="Times New Roman" w:cs="Times New Roman"/>
          <w:sz w:val="24"/>
          <w:szCs w:val="24"/>
        </w:rPr>
      </w:pPr>
      <w:r w:rsidRPr="00395C17">
        <w:rPr>
          <w:rFonts w:ascii="Times New Roman" w:hAnsi="Times New Roman" w:cs="Times New Roman"/>
          <w:sz w:val="24"/>
          <w:szCs w:val="24"/>
        </w:rPr>
        <w:t xml:space="preserve">Dessa maneira, pode-se concluir que o </w:t>
      </w:r>
      <w:r w:rsidRPr="00395C17">
        <w:rPr>
          <w:rFonts w:ascii="Times New Roman" w:hAnsi="Times New Roman" w:cs="Times New Roman"/>
          <w:i/>
          <w:iCs/>
          <w:sz w:val="24"/>
          <w:szCs w:val="24"/>
        </w:rPr>
        <w:t>Triple Bottom Line</w:t>
      </w:r>
      <w:r w:rsidRPr="00395C17">
        <w:rPr>
          <w:rFonts w:ascii="Times New Roman" w:hAnsi="Times New Roman" w:cs="Times New Roman"/>
          <w:sz w:val="24"/>
          <w:szCs w:val="24"/>
        </w:rPr>
        <w:t xml:space="preserve"> representa uma importante referência para a gestão contemporânea, porém sua efetividade depende de aplicação prática consistente e comprometimento organizacional.</w:t>
      </w:r>
    </w:p>
    <w:p w:rsidR="00395C17" w:rsidRDefault="00395C17" w:rsidP="00395C17">
      <w:pPr>
        <w:spacing w:line="360" w:lineRule="auto"/>
        <w:jc w:val="both"/>
        <w:rPr>
          <w:rFonts w:ascii="Times New Roman" w:hAnsi="Times New Roman" w:cs="Times New Roman"/>
          <w:b/>
          <w:bCs/>
          <w:sz w:val="24"/>
          <w:szCs w:val="24"/>
        </w:rPr>
      </w:pPr>
    </w:p>
    <w:p w:rsid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 xml:space="preserve"> METODOLOGIA</w:t>
      </w:r>
    </w:p>
    <w:p w:rsidR="00395C17" w:rsidRPr="00395C17" w:rsidRDefault="00395C17" w:rsidP="00395C17">
      <w:pPr>
        <w:spacing w:line="360" w:lineRule="auto"/>
        <w:jc w:val="both"/>
        <w:rPr>
          <w:rFonts w:ascii="Times New Roman" w:hAnsi="Times New Roman" w:cs="Times New Roman"/>
          <w:b/>
          <w:bCs/>
          <w:sz w:val="24"/>
          <w:szCs w:val="24"/>
        </w:rPr>
      </w:pP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Este presente estudo é constituído por meio da metodologia de ensaio teórico, de natureza básica e com abordagem qualitativa. O método de ensaio consiste na exposição lógica e reflexiva de um tema (SEVERINO, 2017). Nele, há uma liberdade maior para o autor, que pode, a partir de sua bagagem cultural, defender uma ideia ou posição.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Assim, a partir da análise das estratégias administrativas e do papel do administrador no processo de construção de soluções empresariais sustentáveis, serão analisadas ações de empresas, baseado em seus relatórios de sustentabilidade, a fim de verificar a relação das práticas adotadas com as estratégias apresentadas neste artigo, o impacto na produtividade das empresas e o reflexo na preservação ambiental.</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Quanto à abordagem desta pesquisa, este estudo se caracteriza como uma pesquisa qualitativa em que a análise dos fatos é feita de maneira interpretativa, com base na observação deles pelo pesquisador. Segundo Gil (2021, p.15), nesse modelo se busca, mediante um processo não matemático de interpretação, descobrir conceitos e relação entre dados, organizando-os de maneira explicativa.</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 pesquisa também pode ser classificada como exploratória e descritiva. De acordo com Lozada e Nunes (2019, p.119), a pesquisa exploratória tem como intuito conhecer profundamente um assunto ainda pouco explorado para se ter uma compreensão geral dos fatos para assim construir hipóteses sobre o tema.</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A pesquisa descritiva tem como principal foco a descrição de todas as características de fenômenos estudados, ajudando em uma melhor visualização e compreensão do contexto em que se encontram. A observação, o registro, a análise e a correlação de fenômenos são alguns </w:t>
      </w:r>
      <w:r w:rsidRPr="00395C17">
        <w:rPr>
          <w:rFonts w:ascii="Times New Roman" w:hAnsi="Times New Roman" w:cs="Times New Roman"/>
          <w:sz w:val="24"/>
          <w:szCs w:val="24"/>
        </w:rPr>
        <w:lastRenderedPageBreak/>
        <w:t>dos objetivos desse tipo de pesquisa, sendo estes expressos pela descrição e a interpretação da realidade (GIACON, FONTES e GRAZZIA, 2017).</w:t>
      </w:r>
    </w:p>
    <w:p w:rsid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Dessa forma, o ensaio busca contribuir para a compreensão da evolução das práticas administrativas à luz das exigências contemporâneas de preservação ambiental, promovendo uma reflexão ampla sobre os limites e potencialidades da administração como instrumento de transformação frente aos desafios climáticos globais.</w:t>
      </w:r>
    </w:p>
    <w:p w:rsidR="00395C17" w:rsidRPr="00395C17" w:rsidRDefault="00395C17" w:rsidP="00395C17">
      <w:pPr>
        <w:spacing w:line="360" w:lineRule="auto"/>
        <w:ind w:firstLine="708"/>
        <w:jc w:val="both"/>
        <w:rPr>
          <w:rFonts w:ascii="Times New Roman" w:hAnsi="Times New Roman" w:cs="Times New Roman"/>
          <w:sz w:val="24"/>
          <w:szCs w:val="24"/>
        </w:rPr>
      </w:pPr>
    </w:p>
    <w:p w:rsid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ANÁLISE E DISCUSSÃO</w:t>
      </w:r>
    </w:p>
    <w:p w:rsidR="00395C17" w:rsidRPr="00395C17" w:rsidRDefault="00395C17" w:rsidP="00395C17">
      <w:pPr>
        <w:spacing w:line="360" w:lineRule="auto"/>
        <w:jc w:val="both"/>
        <w:rPr>
          <w:rFonts w:ascii="Times New Roman" w:hAnsi="Times New Roman" w:cs="Times New Roman"/>
          <w:b/>
          <w:bCs/>
          <w:sz w:val="24"/>
          <w:szCs w:val="24"/>
        </w:rPr>
      </w:pP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 adoção efetiva de práticas sustentáveis ainda é um tema sensível para os empresários. Os custos elevados para mudar processos internos são empecilhos que dificultam o início da transição, mesmo com os alertas de cientistas e da própria natureza com relação às mudanças climáticas. Entretanto, algumas empresas conseguiram superar esses obstáculos e implementaram ações de sustentabilidade em sua cadeia produtiva. Neste artigo, serão analisados três casos relevantes: Natura, Ambev e Petrobras.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Primeiramente, em relação à Natura, a empresa destaca-se como referência em sustentabilidade, com práticas empresariais alinhadas ao tema desde a sua fundação. Em 2007, a organização instituiu o programa Carbono Neutro com o objetivo de reduzir a emissão de Gases de Efeito Estufa (GEE). Por meio dessa iniciativa, os produtos da empresa são considerados 100% carbono neutros, visto que, além da redução direta das emissões, realiza-se a compensação dos poluentes liberados mediante a compra de créditos de carbono e do apoio financeiro a projetos socioambientais.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Essa diretriz está vigente até hoje e foi ratificada no Relatório Integrado Natura &amp;Co de 2024. No tópico de “Compromisso Com a Vida 2030” (no qual são detalhadas as metas institucionais assumidas até 2030), há o subpilar “Transição Climática”. Nele, destaca-se que a empresa reduziu em 43% as emissões de GEE em suas instalações próprias, que englobam o Escopo 1 (emissões diretas em locais da operação que a empresa possui ou controla) e o Escopo 2 (emissões indiretas provenientes da geração de energia, vapor, aquecimento ou refrigeração comprados pela organização).</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Tal prática está alinhada à Gestão de Emissões. No caso da Natura, cujas instalações se concentram na região amazônica, esse compromisso impacta positivamente a vida das populações locais, além de contribuir para a preservação da qualidade do ar e para a redução do calor.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lastRenderedPageBreak/>
        <w:t>No aspecto social, a empresa atingiu sua meta estabelecida e mantém relacionamento com 45 comunidades agroextrativistas da sociobiodiversidade amazônica, que fornecem os ingredientes naturais usados na sua produção. Em 2024, foram investidos R$ 24,5 milhões na compra de insumos amazônicos, impactando 10.548 famílias (Natura &amp;CO, 2024, p.94).</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Essa meta de conferir dignidade às comunidades locais, por meio de relações de negócio éticas e apoio a projetos da região, constitui uma conduta fundamentada na Responsabilidade Social Corporativa (RSC). Essa abordagem destaca a importância de não se buscar apenas o lucro, mas também observar os impactos gerados pela organização na sociedade.</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Nesse sentido, conclui-se que a Natura demonstra um compromisso efetivo com a preservação ambiental ao estabelecer metas baseadas em diretrizes da ONU e de outras organizações, além de manter a transparência por meio do monitoramento anual de seus indicadores. Suas práticas contemplam os três pilares do ESG e consolidam a operação como um exemplo para o setor empresarial ao demonstrar a viabilidade da convergência entre produtividade e a sustentabilidade.</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No caso da Ambev, a organização incorpora metas de sustentabilidade à estratégia corporativa desde 2017, alinhando-se aos Objetivos de Desenvolvimento Sustentável (ODS) da ONU. Entre as ações externas, destaca-se o projeto “Água AMA”, cujo lucro é integralmente destinado a levar acesso à água potável para comunidades do semiárido. A iniciativa atingiu a meta de beneficiar um milhão de brasileiros antes de 2025, com 130 projetos apoiados e mais de R$ 10 milhões arrecadados para infraestrutura hídrica.</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Além disso, a empresa realiza internamente o programa Ambev Recicla, parte do compromisso de ter 100% das embalagens produzidas com material reciclado ou que sejam retornáveis até 2025. Até 2021, a organização já havia alcançado parte da meta de redução da poluição plástica, com a utilização de 45% de PET reciclados nas garrafas. Ademais, a companhia mantém o Centro de Inovação Tecnológica (CIT), em parceria com a UFRJ, para desenvolver novas tecnologias e compostos plásticos de menor impacto ambiental. Tais medidas indicam avanço na economia circular e maior eficiência no uso de recursos produtivos.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Com relação à gestão de gases e à descarbonização, a Ambev transformou algumas de suas unidades em carbono neutras: a cervejaria de Ponta Grossa (PR), a maltaria de Passo Fundo (RS) e o centro de distribuição de Joinville (SC). Elas foram as primeiras operações no Brasil a atingir a neutralidade, mediante uso de biomassa e a compra de créditos de carbono para emissões residuais.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lastRenderedPageBreak/>
        <w:t>De acordo com o Relatório Anual de Sustentabilidade 2024, a companhia ampliou o uso de energia renovável em suas operações, alcançando 100% de eletricidade comprada de fontes renováveis em diversos países onde atua. Ademais, destaca-se os avanços na redução de emissões e em embalagens circulares.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Além disso, a empresa possui uma plataforma B2B digital de distribuição chamada “</w:t>
      </w:r>
      <w:r w:rsidRPr="00395C17">
        <w:rPr>
          <w:rFonts w:ascii="Times New Roman" w:hAnsi="Times New Roman" w:cs="Times New Roman"/>
          <w:i/>
          <w:iCs/>
          <w:sz w:val="24"/>
          <w:szCs w:val="24"/>
        </w:rPr>
        <w:t>BEES</w:t>
      </w:r>
      <w:r w:rsidRPr="00395C17">
        <w:rPr>
          <w:rFonts w:ascii="Times New Roman" w:hAnsi="Times New Roman" w:cs="Times New Roman"/>
          <w:sz w:val="24"/>
          <w:szCs w:val="24"/>
        </w:rPr>
        <w:t>”. A ferramenta, que conecta a Ambev aos clientes varejistas, registrou 1,3 milhão de usuários ativos mensais em 2024 (Ambev, 2024, p.5), fortalecendo a relação com pequenos varejistas e ampliando a modernização comercial da companhia. Essa iniciativa evidência como a transformação digital também integra a estratégia corporativa.</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No aspecto social, destaca-se o programa Bora, voltado à inclusão produtiva e geração de renda para micro e pequenos empreendedores. A iniciativa fortalece comunidades locais e amplia oportunidades econômicas. Outro ponto relevante foi a doação de cinco milhões de litros de água durante as enchentes no Rio Grande do Sul em 2024, demonstrando capacidade de resposta emergencial e responsabilidade social (Ambev, 2024, p. 7).</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Dessa forma, conclui-se que a Ambev utiliza o ESG como instrumento estratégico de competitividade, combinando inovação, impacto social e eficiência operacional. Além disso, por atuar no setor de bebidas alcoólicas, a empresa permanece inserida em debates sobre consumo responsável e impactos à saúde pública. Em suma, a organização ainda necessita superar limitações estruturais para consolidar plenamente seus compromissos socioambientais.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Por fim, a Petrobras é uma empresa que se sobressai entre as organizações nacionais. Sua atuação busca equilibrar as atividades produtivas com a conservação ambiental, tendo como missão utilizar energia para transformar o setor de petróleo e gás. A companhia tem estruturado suas práticas de sustentabilidade com foco na transição energética justa, na descarbonização das operações e na responsabilidade socioambiental, alinhando-se aos critérios ESG.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O Plano Estratégico 2024-2028+ prevê investimentos significativos para reduzir a pegada de carbono, mantendo a eficiência operacional. Suas principais práticas incluem a descarbonização e eficiência energética por meio de planos como o </w:t>
      </w:r>
      <w:r w:rsidRPr="00395C17">
        <w:rPr>
          <w:rFonts w:ascii="Times New Roman" w:hAnsi="Times New Roman" w:cs="Times New Roman"/>
          <w:i/>
          <w:iCs/>
          <w:sz w:val="24"/>
          <w:szCs w:val="24"/>
        </w:rPr>
        <w:t>Net Zero</w:t>
      </w:r>
      <w:r w:rsidRPr="00395C17">
        <w:rPr>
          <w:rFonts w:ascii="Times New Roman" w:hAnsi="Times New Roman" w:cs="Times New Roman"/>
          <w:sz w:val="24"/>
          <w:szCs w:val="24"/>
        </w:rPr>
        <w:t xml:space="preserve">, que tem como meta reduzir em 30% as emissões absolutas operacionais até 2030 (em comparação a 2015) e alcançar a neutralidade de carbono nos Escopos 1 e 2 até 2050.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Até o momento, a Petrobras apresenta reduções consistentes em suas emissões operacionais e avanços no volume de investimentos em transição energética. Segundo o Relatório de Sustentabilidade 2024, houve uma redução na emissão de gases de efeito estufa, </w:t>
      </w:r>
      <w:r w:rsidRPr="00395C17">
        <w:rPr>
          <w:rFonts w:ascii="Times New Roman" w:hAnsi="Times New Roman" w:cs="Times New Roman"/>
          <w:sz w:val="24"/>
          <w:szCs w:val="24"/>
        </w:rPr>
        <w:lastRenderedPageBreak/>
        <w:t xml:space="preserve">com quedas de 40% a 41% nas emissões absolutas operacionais entre 2015 e 2024, além de uma redução de 70% nas emissões diretas de metano no mesmo período. </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Por outro lado, a alocação de capital reflete a mudança estratégica para a transição energética, com a destinação de US$ 16,3 bilhões para projetos de baixo carbono no plano 2025-2029. Esse montante equivale a 15% do investimento total da companhia. Além disso, a estatal distribuiu aproximadamente R$ 380 bilhões em valor para a sociedade (tributos, </w:t>
      </w:r>
      <w:r w:rsidRPr="00395C17">
        <w:rPr>
          <w:rFonts w:ascii="Times New Roman" w:hAnsi="Times New Roman" w:cs="Times New Roman"/>
          <w:i/>
          <w:iCs/>
          <w:sz w:val="24"/>
          <w:szCs w:val="24"/>
        </w:rPr>
        <w:t>royalties</w:t>
      </w:r>
      <w:r w:rsidRPr="00395C17">
        <w:rPr>
          <w:rFonts w:ascii="Times New Roman" w:hAnsi="Times New Roman" w:cs="Times New Roman"/>
          <w:sz w:val="24"/>
          <w:szCs w:val="24"/>
        </w:rPr>
        <w:t xml:space="preserve"> e remunerações) em 2024, e realizou investimento voluntário de R$ 350 milhões no programa Autonomia e Renda ao longo de quatro anos.</w:t>
      </w:r>
    </w:p>
    <w:p w:rsidR="00395C17" w:rsidRP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 xml:space="preserve">Nesse sentindo, tais ações podem ser relacionadas aos pilares da sustentabilidade descritos por Sachs (ecológica, social, econômica, política, territorial e cultural), evidenciando que é possível, por meio de uma gestão estratégica, alinhar resultados financeiros à preservação ambiental. A Petrobras compromete-se a estabelecer metas nacionais visando o desenvolvimento sustentável, comprovando que a extração de petróleo pode coexistir com um modelo de desenvolvimento humanista e planetário. </w:t>
      </w:r>
    </w:p>
    <w:p w:rsidR="00395C17" w:rsidRDefault="00395C17" w:rsidP="00395C17">
      <w:pPr>
        <w:spacing w:line="360" w:lineRule="auto"/>
        <w:ind w:firstLine="708"/>
        <w:jc w:val="both"/>
        <w:rPr>
          <w:rFonts w:ascii="Times New Roman" w:hAnsi="Times New Roman" w:cs="Times New Roman"/>
          <w:sz w:val="24"/>
          <w:szCs w:val="24"/>
        </w:rPr>
      </w:pPr>
      <w:r w:rsidRPr="00395C17">
        <w:rPr>
          <w:rFonts w:ascii="Times New Roman" w:hAnsi="Times New Roman" w:cs="Times New Roman"/>
          <w:sz w:val="24"/>
          <w:szCs w:val="24"/>
        </w:rPr>
        <w:t>Mediante o exposto, pode-se inferir a importância que administradores atentos às mudanças no contexto organizacional e social têm. Ao perceberem uma transição gradual e apostarem em práticas empresariais que, no início, podem ser questionadas ou não completamente entendidas, mas que estando bem fundamentadas, as empresas tornam-se pioneiras de um movimento e destaque no setor. Esse é o caso das três organizações analisadas neste estudo, que têm em seu quadro gestores qualificados que souberam como agir frente às rápidas mudanças vivenciadas nos últimos anos, equilibrando o lucro com a sustentabilidade.</w:t>
      </w:r>
    </w:p>
    <w:p w:rsidR="00395C17" w:rsidRPr="00395C17" w:rsidRDefault="00395C17" w:rsidP="00395C17">
      <w:pPr>
        <w:spacing w:line="360" w:lineRule="auto"/>
        <w:ind w:firstLine="708"/>
        <w:jc w:val="both"/>
        <w:rPr>
          <w:rFonts w:ascii="Times New Roman" w:hAnsi="Times New Roman" w:cs="Times New Roman"/>
          <w:sz w:val="24"/>
          <w:szCs w:val="24"/>
        </w:rPr>
      </w:pPr>
    </w:p>
    <w:p w:rsid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CONSIDERAÇÕES FINAIS</w:t>
      </w:r>
    </w:p>
    <w:p w:rsidR="00395C17" w:rsidRPr="00395C17" w:rsidRDefault="00395C17" w:rsidP="00395C17">
      <w:pPr>
        <w:spacing w:line="360" w:lineRule="auto"/>
        <w:jc w:val="both"/>
        <w:rPr>
          <w:rFonts w:ascii="Times New Roman" w:hAnsi="Times New Roman" w:cs="Times New Roman"/>
          <w:b/>
          <w:bCs/>
          <w:sz w:val="24"/>
          <w:szCs w:val="24"/>
        </w:rPr>
      </w:pPr>
    </w:p>
    <w:p w:rsidR="00395C17" w:rsidRPr="00395C17" w:rsidRDefault="00395C17" w:rsidP="00395C17">
      <w:pPr>
        <w:spacing w:line="360" w:lineRule="auto"/>
        <w:ind w:firstLine="709"/>
        <w:jc w:val="both"/>
        <w:rPr>
          <w:rFonts w:ascii="Times New Roman" w:hAnsi="Times New Roman" w:cs="Times New Roman"/>
          <w:color w:val="000000" w:themeColor="text1"/>
          <w:sz w:val="24"/>
          <w:szCs w:val="24"/>
        </w:rPr>
      </w:pPr>
      <w:r w:rsidRPr="00395C17">
        <w:rPr>
          <w:rFonts w:ascii="Times New Roman" w:hAnsi="Times New Roman" w:cs="Times New Roman"/>
          <w:color w:val="000000" w:themeColor="text1"/>
          <w:sz w:val="24"/>
          <w:szCs w:val="24"/>
        </w:rPr>
        <w:t>A pesquisa permitiu compreender a importância da ciência da administração na construção de práticas empresariais sustentáveis diante dos desafios causados pelas mudanças climáticas. A partir do problema apresentado, observou-se que as estratégias administrativas exercem influência significativa na forma como as organizações desenvolvem ações voltadas à preservação ambiental e à responsabilidade social.</w:t>
      </w:r>
    </w:p>
    <w:p w:rsidR="00395C17" w:rsidRPr="00395C17" w:rsidRDefault="00395C17" w:rsidP="00395C17">
      <w:pPr>
        <w:spacing w:line="360" w:lineRule="auto"/>
        <w:ind w:firstLine="709"/>
        <w:jc w:val="both"/>
        <w:rPr>
          <w:rFonts w:ascii="Times New Roman" w:hAnsi="Times New Roman" w:cs="Times New Roman"/>
          <w:color w:val="000000" w:themeColor="text1"/>
          <w:sz w:val="24"/>
          <w:szCs w:val="24"/>
        </w:rPr>
      </w:pPr>
      <w:r w:rsidRPr="00395C17">
        <w:rPr>
          <w:rFonts w:ascii="Times New Roman" w:hAnsi="Times New Roman" w:cs="Times New Roman"/>
          <w:color w:val="000000" w:themeColor="text1"/>
          <w:sz w:val="24"/>
          <w:szCs w:val="24"/>
        </w:rPr>
        <w:t xml:space="preserve">Durante o estudo, verificou-se que práticas como ESG, economia circular, gestão de emissões e responsabilidade social corporativa (RSC) contribuem para a redução dos impactos ambientais e para o fortalecimento das organizações no mercado. Além disso, a análise das empresas Natura, Ambev e Petrobras demonstrou que é possível alinhar crescimento </w:t>
      </w:r>
      <w:r w:rsidRPr="00395C17">
        <w:rPr>
          <w:rFonts w:ascii="Times New Roman" w:hAnsi="Times New Roman" w:cs="Times New Roman"/>
          <w:color w:val="000000" w:themeColor="text1"/>
          <w:sz w:val="24"/>
          <w:szCs w:val="24"/>
        </w:rPr>
        <w:lastRenderedPageBreak/>
        <w:t>econômico, responsabilidade social e preservação ambiental por meio de decisões estratégicas e investimentos sustentáveis.</w:t>
      </w:r>
    </w:p>
    <w:p w:rsidR="00395C17" w:rsidRPr="00395C17" w:rsidRDefault="00395C17" w:rsidP="00395C17">
      <w:pPr>
        <w:spacing w:line="360" w:lineRule="auto"/>
        <w:ind w:firstLine="709"/>
        <w:jc w:val="both"/>
        <w:rPr>
          <w:rFonts w:ascii="Times New Roman" w:hAnsi="Times New Roman" w:cs="Times New Roman"/>
          <w:color w:val="000000" w:themeColor="text1"/>
          <w:sz w:val="24"/>
          <w:szCs w:val="24"/>
        </w:rPr>
      </w:pPr>
      <w:r w:rsidRPr="00395C17">
        <w:rPr>
          <w:rFonts w:ascii="Times New Roman" w:hAnsi="Times New Roman" w:cs="Times New Roman"/>
          <w:color w:val="000000" w:themeColor="text1"/>
          <w:sz w:val="24"/>
          <w:szCs w:val="24"/>
        </w:rPr>
        <w:t>Dessa forma, conclui-se que a administração possui papel fundamental na adaptação das organizações às exigências ambientais contemporâneas, oferecendo ferramentas capazes de auxiliar no processo de tomada de decisão sustentável. Assim, destaca-se a importância da formação de gestores éticos, conscientes e inovadores, preparados para promover mudanças positivas nas empresas e contribuir para um desenvolvimento mais sustentável.</w:t>
      </w:r>
    </w:p>
    <w:p w:rsidR="00395C17" w:rsidRDefault="00395C17" w:rsidP="00395C17">
      <w:pPr>
        <w:spacing w:line="360" w:lineRule="auto"/>
        <w:ind w:firstLine="709"/>
        <w:jc w:val="both"/>
        <w:rPr>
          <w:rFonts w:ascii="Times New Roman" w:hAnsi="Times New Roman" w:cs="Times New Roman"/>
          <w:b/>
          <w:bCs/>
          <w:color w:val="000000" w:themeColor="text1"/>
          <w:sz w:val="24"/>
          <w:szCs w:val="24"/>
        </w:rPr>
      </w:pPr>
      <w:r w:rsidRPr="00395C17">
        <w:rPr>
          <w:rFonts w:ascii="Times New Roman" w:hAnsi="Times New Roman" w:cs="Times New Roman"/>
          <w:color w:val="000000" w:themeColor="text1"/>
          <w:sz w:val="24"/>
          <w:szCs w:val="24"/>
        </w:rPr>
        <w:t>Para futuras pesquisas sugere-se uma análise sobre a adaptação de micro e pequenas empresas frente às mudanças climáticas e como é possível incluir práticas sustentáveis nessas corporações.</w:t>
      </w:r>
      <w:r w:rsidRPr="00395C17">
        <w:rPr>
          <w:rFonts w:ascii="Times New Roman" w:hAnsi="Times New Roman" w:cs="Times New Roman"/>
          <w:b/>
          <w:bCs/>
          <w:color w:val="000000" w:themeColor="text1"/>
          <w:sz w:val="24"/>
          <w:szCs w:val="24"/>
        </w:rPr>
        <w:t xml:space="preserve"> </w:t>
      </w:r>
    </w:p>
    <w:p w:rsidR="00395C17" w:rsidRPr="00395C17" w:rsidRDefault="00395C17" w:rsidP="00395C17">
      <w:pPr>
        <w:spacing w:line="360" w:lineRule="auto"/>
        <w:ind w:firstLine="709"/>
        <w:jc w:val="both"/>
        <w:rPr>
          <w:rFonts w:ascii="Times New Roman" w:hAnsi="Times New Roman" w:cs="Times New Roman"/>
          <w:b/>
          <w:bCs/>
          <w:color w:val="000000" w:themeColor="text1"/>
          <w:sz w:val="24"/>
          <w:szCs w:val="24"/>
        </w:rPr>
      </w:pPr>
    </w:p>
    <w:p w:rsidR="00395C17" w:rsidRDefault="00395C17" w:rsidP="00395C17">
      <w:pPr>
        <w:spacing w:line="360" w:lineRule="auto"/>
        <w:jc w:val="both"/>
        <w:rPr>
          <w:rFonts w:ascii="Times New Roman" w:hAnsi="Times New Roman" w:cs="Times New Roman"/>
          <w:b/>
          <w:bCs/>
          <w:sz w:val="24"/>
          <w:szCs w:val="24"/>
        </w:rPr>
      </w:pPr>
      <w:r w:rsidRPr="00395C17">
        <w:rPr>
          <w:rFonts w:ascii="Times New Roman" w:hAnsi="Times New Roman" w:cs="Times New Roman"/>
          <w:b/>
          <w:bCs/>
          <w:sz w:val="24"/>
          <w:szCs w:val="24"/>
        </w:rPr>
        <w:t>REFERÊNCIAS</w:t>
      </w:r>
    </w:p>
    <w:p w:rsidR="00395C17" w:rsidRPr="00395C17" w:rsidRDefault="00395C17" w:rsidP="00395C17">
      <w:pPr>
        <w:spacing w:line="360" w:lineRule="auto"/>
        <w:jc w:val="both"/>
        <w:rPr>
          <w:rFonts w:ascii="Times New Roman" w:hAnsi="Times New Roman" w:cs="Times New Roman"/>
          <w:b/>
          <w:bCs/>
          <w:sz w:val="24"/>
          <w:szCs w:val="24"/>
        </w:rPr>
      </w:pP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AIUTO, Kyla; HUCKINS, Sarah; MOMBLANCO, Hannah. Entenda o que é GHG Protocol, seus três escopos e como evoluíram os inventários corporativos. </w:t>
      </w:r>
      <w:r w:rsidRPr="00395C17">
        <w:rPr>
          <w:rFonts w:ascii="Times New Roman" w:hAnsi="Times New Roman" w:cs="Times New Roman"/>
          <w:b/>
          <w:bCs/>
          <w:sz w:val="24"/>
          <w:szCs w:val="24"/>
        </w:rPr>
        <w:t>WRI Brasil</w:t>
      </w:r>
      <w:r w:rsidRPr="00395C17">
        <w:rPr>
          <w:rFonts w:ascii="Times New Roman" w:hAnsi="Times New Roman" w:cs="Times New Roman"/>
          <w:sz w:val="24"/>
          <w:szCs w:val="24"/>
        </w:rPr>
        <w:t>, 2024. Disponível em: &lt;</w:t>
      </w:r>
      <w:hyperlink r:id="rId7" w:history="1">
        <w:r w:rsidRPr="00395C17">
          <w:rPr>
            <w:rStyle w:val="Hyperlink"/>
            <w:rFonts w:ascii="Times New Roman" w:hAnsi="Times New Roman" w:cs="Times New Roman"/>
            <w:sz w:val="24"/>
            <w:szCs w:val="24"/>
          </w:rPr>
          <w:t>https://www.wribrasil.org.br/noticias/entenda-ghg-protocol-tres-escopos-inventarios-corporativos</w:t>
        </w:r>
      </w:hyperlink>
      <w:r w:rsidRPr="00395C17">
        <w:rPr>
          <w:rFonts w:ascii="Times New Roman" w:hAnsi="Times New Roman" w:cs="Times New Roman"/>
          <w:sz w:val="24"/>
          <w:szCs w:val="24"/>
        </w:rPr>
        <w:t>&gt;. Acesso em: 17 abr. 2025.</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A ONU e o meio ambiente. </w:t>
      </w:r>
      <w:r w:rsidRPr="00395C17">
        <w:rPr>
          <w:rFonts w:ascii="Times New Roman" w:hAnsi="Times New Roman" w:cs="Times New Roman"/>
          <w:b/>
          <w:bCs/>
          <w:sz w:val="24"/>
          <w:szCs w:val="24"/>
        </w:rPr>
        <w:t>Nações Unidas Brasil,</w:t>
      </w:r>
      <w:r w:rsidRPr="00395C17">
        <w:rPr>
          <w:rFonts w:ascii="Times New Roman" w:hAnsi="Times New Roman" w:cs="Times New Roman"/>
          <w:sz w:val="24"/>
          <w:szCs w:val="24"/>
        </w:rPr>
        <w:t xml:space="preserve"> 2020. Disponível em: &lt;</w:t>
      </w:r>
      <w:hyperlink r:id="rId8">
        <w:r w:rsidRPr="00395C17">
          <w:rPr>
            <w:rFonts w:ascii="Times New Roman" w:hAnsi="Times New Roman" w:cs="Times New Roman"/>
            <w:sz w:val="24"/>
            <w:szCs w:val="24"/>
          </w:rPr>
          <w:t>https://brasil.un.org/pt-br/91223-onu-e-o-meio-ambiente</w:t>
        </w:r>
      </w:hyperlink>
      <w:r w:rsidRPr="00395C17">
        <w:rPr>
          <w:rFonts w:ascii="Times New Roman" w:hAnsi="Times New Roman" w:cs="Times New Roman"/>
          <w:sz w:val="24"/>
          <w:szCs w:val="24"/>
        </w:rPr>
        <w:t>&gt;. Acesso em: 09 set. 2025.</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Ambev. Relatório Anual de Sustentabilidade 2025 – ano base 2024. São Paulo: ambev, 2025. Disponível em: &lt;</w:t>
      </w:r>
      <w:hyperlink r:id="rId9" w:history="1">
        <w:r w:rsidRPr="00395C17">
          <w:rPr>
            <w:rStyle w:val="Hyperlink"/>
            <w:rFonts w:ascii="Times New Roman" w:hAnsi="Times New Roman" w:cs="Times New Roman"/>
            <w:sz w:val="24"/>
            <w:szCs w:val="24"/>
          </w:rPr>
          <w:t>https://ri.ambev.com.br/relatorios-publicacoes/relatorios-anuais-e-sustentabilidade/</w:t>
        </w:r>
      </w:hyperlink>
      <w:r w:rsidRPr="00395C17">
        <w:rPr>
          <w:rFonts w:ascii="Times New Roman" w:hAnsi="Times New Roman" w:cs="Times New Roman"/>
          <w:sz w:val="24"/>
          <w:szCs w:val="24"/>
        </w:rPr>
        <w:t>&gt;. Acesso em: 15 mar. 2026.</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BARBIERI, José Carlos. </w:t>
      </w:r>
      <w:r w:rsidRPr="00395C17">
        <w:rPr>
          <w:rFonts w:ascii="Times New Roman" w:hAnsi="Times New Roman" w:cs="Times New Roman"/>
          <w:i/>
          <w:iCs/>
          <w:sz w:val="24"/>
          <w:szCs w:val="24"/>
        </w:rPr>
        <w:t>Gestão ambiental empresarial: conceitos, modelos e instrumentos.</w:t>
      </w:r>
      <w:r w:rsidRPr="00395C17">
        <w:rPr>
          <w:rFonts w:ascii="Times New Roman" w:hAnsi="Times New Roman" w:cs="Times New Roman"/>
          <w:sz w:val="24"/>
          <w:szCs w:val="24"/>
        </w:rPr>
        <w:t xml:space="preserve"> 4. ed. </w:t>
      </w:r>
      <w:r w:rsidRPr="00395C17">
        <w:rPr>
          <w:rFonts w:ascii="Times New Roman" w:hAnsi="Times New Roman" w:cs="Times New Roman"/>
          <w:b/>
          <w:bCs/>
          <w:sz w:val="24"/>
          <w:szCs w:val="24"/>
        </w:rPr>
        <w:t>São Paulo: Saraiva</w:t>
      </w:r>
      <w:r w:rsidRPr="00395C17">
        <w:rPr>
          <w:rFonts w:ascii="Times New Roman" w:hAnsi="Times New Roman" w:cs="Times New Roman"/>
          <w:sz w:val="24"/>
          <w:szCs w:val="24"/>
        </w:rPr>
        <w:t xml:space="preserve">, 2016. </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Certificações Ambientais e ESG: O Caminho para um Futuro Sustentável. </w:t>
      </w:r>
      <w:r w:rsidRPr="00395C17">
        <w:rPr>
          <w:rFonts w:ascii="Times New Roman" w:hAnsi="Times New Roman" w:cs="Times New Roman"/>
          <w:b/>
          <w:bCs/>
          <w:sz w:val="24"/>
          <w:szCs w:val="24"/>
        </w:rPr>
        <w:t>INBEC</w:t>
      </w:r>
      <w:r w:rsidRPr="00395C17">
        <w:rPr>
          <w:rFonts w:ascii="Times New Roman" w:hAnsi="Times New Roman" w:cs="Times New Roman"/>
          <w:sz w:val="24"/>
          <w:szCs w:val="24"/>
        </w:rPr>
        <w:t>, 2024. Disponível em: &lt;</w:t>
      </w:r>
      <w:hyperlink r:id="rId10">
        <w:r w:rsidRPr="00395C17">
          <w:rPr>
            <w:rFonts w:ascii="Times New Roman" w:hAnsi="Times New Roman" w:cs="Times New Roman"/>
            <w:sz w:val="24"/>
            <w:szCs w:val="24"/>
          </w:rPr>
          <w:t>https://inbec.com.br/blog/certificacoes-ambientais-esg-caminho-para-um-futuro-sustentavel</w:t>
        </w:r>
      </w:hyperlink>
      <w:r w:rsidRPr="00395C17">
        <w:rPr>
          <w:rFonts w:ascii="Times New Roman" w:hAnsi="Times New Roman" w:cs="Times New Roman"/>
          <w:sz w:val="24"/>
          <w:szCs w:val="24"/>
        </w:rPr>
        <w:t xml:space="preserve">&gt;. Acesso em: 08 set. 2025. </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CHIAVENATO, Idalberto. </w:t>
      </w:r>
      <w:r w:rsidRPr="00395C17">
        <w:rPr>
          <w:rFonts w:ascii="Times New Roman" w:hAnsi="Times New Roman" w:cs="Times New Roman"/>
          <w:i/>
          <w:iCs/>
          <w:sz w:val="24"/>
          <w:szCs w:val="24"/>
        </w:rPr>
        <w:t>Introdução à teoria geral da administração.</w:t>
      </w:r>
      <w:r w:rsidRPr="00395C17">
        <w:rPr>
          <w:rFonts w:ascii="Times New Roman" w:hAnsi="Times New Roman" w:cs="Times New Roman"/>
          <w:sz w:val="24"/>
          <w:szCs w:val="24"/>
        </w:rPr>
        <w:t xml:space="preserve"> 9. ed. </w:t>
      </w:r>
      <w:r w:rsidRPr="00395C17">
        <w:rPr>
          <w:rFonts w:ascii="Times New Roman" w:hAnsi="Times New Roman" w:cs="Times New Roman"/>
          <w:b/>
          <w:bCs/>
          <w:sz w:val="24"/>
          <w:szCs w:val="24"/>
        </w:rPr>
        <w:t>Barueri, SP: Manole</w:t>
      </w:r>
      <w:r w:rsidRPr="00395C17">
        <w:rPr>
          <w:rFonts w:ascii="Times New Roman" w:hAnsi="Times New Roman" w:cs="Times New Roman"/>
          <w:sz w:val="24"/>
          <w:szCs w:val="24"/>
        </w:rPr>
        <w:t xml:space="preserve">, 2014. </w:t>
      </w:r>
    </w:p>
    <w:p w:rsidR="00395C17" w:rsidRPr="00395C17" w:rsidRDefault="00395C17" w:rsidP="00395C17">
      <w:pPr>
        <w:spacing w:after="240" w:line="240" w:lineRule="auto"/>
        <w:jc w:val="both"/>
        <w:rPr>
          <w:rFonts w:ascii="Times New Roman" w:hAnsi="Times New Roman" w:cs="Times New Roman"/>
          <w:color w:val="000000" w:themeColor="text1"/>
          <w:sz w:val="24"/>
          <w:szCs w:val="24"/>
        </w:rPr>
      </w:pPr>
      <w:r w:rsidRPr="00395C17">
        <w:rPr>
          <w:rFonts w:ascii="Times New Roman" w:hAnsi="Times New Roman" w:cs="Times New Roman"/>
          <w:color w:val="000000" w:themeColor="text1"/>
          <w:sz w:val="24"/>
          <w:szCs w:val="24"/>
        </w:rPr>
        <w:t>DE MEDEIROS SILVA E ARAÚJO, Suzana; DE MEDEIROS FILHO, José Venceslau; TRIGUEIRO FERNANDES, Leandro. Sustentabilidade e ESG: desafios e tendências para as organizações. Revista Gestão &amp; Sustentabilidade, Brasil, v. 7, n. 1, p. e15182, 2025. DOI: 10.36661/2596-142X.2025v7n1.15182. Disponível em: &lt;</w:t>
      </w:r>
      <w:hyperlink r:id="rId11" w:history="1">
        <w:r w:rsidRPr="00395C17">
          <w:rPr>
            <w:rStyle w:val="Hyperlink"/>
            <w:rFonts w:ascii="Times New Roman" w:hAnsi="Times New Roman" w:cs="Times New Roman"/>
            <w:color w:val="000000" w:themeColor="text1"/>
            <w:sz w:val="24"/>
            <w:szCs w:val="24"/>
          </w:rPr>
          <w:t>https://periodicos.uffs.edu.br/index.php/RGES/article/view/15182</w:t>
        </w:r>
      </w:hyperlink>
      <w:r w:rsidRPr="00395C17">
        <w:rPr>
          <w:rFonts w:ascii="Times New Roman" w:hAnsi="Times New Roman" w:cs="Times New Roman"/>
          <w:color w:val="000000" w:themeColor="text1"/>
          <w:sz w:val="24"/>
          <w:szCs w:val="24"/>
        </w:rPr>
        <w:t>&gt;. Acesso em: 24 mar. 2026.</w:t>
      </w:r>
    </w:p>
    <w:p w:rsidR="00395C17" w:rsidRPr="00395C17" w:rsidRDefault="00395C17" w:rsidP="00395C17">
      <w:pPr>
        <w:spacing w:after="240" w:line="240" w:lineRule="auto"/>
        <w:jc w:val="both"/>
        <w:rPr>
          <w:rFonts w:ascii="Times New Roman" w:hAnsi="Times New Roman" w:cs="Times New Roman"/>
          <w:color w:val="000000" w:themeColor="text1"/>
          <w:sz w:val="24"/>
          <w:szCs w:val="24"/>
          <w:lang w:val="en-US"/>
        </w:rPr>
      </w:pPr>
      <w:r w:rsidRPr="00395C17">
        <w:rPr>
          <w:rFonts w:ascii="Times New Roman" w:hAnsi="Times New Roman" w:cs="Times New Roman"/>
          <w:color w:val="000000" w:themeColor="text1"/>
          <w:sz w:val="24"/>
          <w:szCs w:val="24"/>
        </w:rPr>
        <w:t xml:space="preserve">DIAS, Luzimar. AMA, PRODUTO SOCIAL DA AMBEV LEVA ÁGUA POTÁVEL A 1 MILHÃO DE BRASILEIROS. </w:t>
      </w:r>
      <w:r w:rsidRPr="00395C17">
        <w:rPr>
          <w:rFonts w:ascii="Times New Roman" w:hAnsi="Times New Roman" w:cs="Times New Roman"/>
          <w:b/>
          <w:bCs/>
          <w:color w:val="000000" w:themeColor="text1"/>
          <w:sz w:val="24"/>
          <w:szCs w:val="24"/>
        </w:rPr>
        <w:t>Foco Pernambuco</w:t>
      </w:r>
      <w:r w:rsidRPr="00395C17">
        <w:rPr>
          <w:rFonts w:ascii="Times New Roman" w:hAnsi="Times New Roman" w:cs="Times New Roman"/>
          <w:color w:val="000000" w:themeColor="text1"/>
          <w:sz w:val="24"/>
          <w:szCs w:val="24"/>
        </w:rPr>
        <w:t xml:space="preserve">, 2024. Disponível em: </w:t>
      </w:r>
      <w:r w:rsidRPr="00395C17">
        <w:rPr>
          <w:rFonts w:ascii="Times New Roman" w:hAnsi="Times New Roman" w:cs="Times New Roman"/>
          <w:color w:val="000000" w:themeColor="text1"/>
          <w:sz w:val="24"/>
          <w:szCs w:val="24"/>
        </w:rPr>
        <w:lastRenderedPageBreak/>
        <w:t>&lt;</w:t>
      </w:r>
      <w:hyperlink r:id="rId12" w:history="1">
        <w:r w:rsidRPr="00395C17">
          <w:rPr>
            <w:rStyle w:val="Hyperlink"/>
            <w:rFonts w:ascii="Times New Roman" w:hAnsi="Times New Roman" w:cs="Times New Roman"/>
            <w:color w:val="000000" w:themeColor="text1"/>
            <w:sz w:val="24"/>
            <w:szCs w:val="24"/>
          </w:rPr>
          <w:t>https://focope.com.br/ama-produto-social-da-ambev-leva-agua-potavel-a-1-milhao-de-brasileiros/&gt;.</w:t>
        </w:r>
      </w:hyperlink>
      <w:r w:rsidRPr="00395C17">
        <w:rPr>
          <w:rFonts w:ascii="Times New Roman" w:hAnsi="Times New Roman" w:cs="Times New Roman"/>
          <w:color w:val="000000" w:themeColor="text1"/>
          <w:sz w:val="24"/>
          <w:szCs w:val="24"/>
        </w:rPr>
        <w:t xml:space="preserve"> </w:t>
      </w:r>
      <w:r w:rsidRPr="00395C17">
        <w:rPr>
          <w:rFonts w:ascii="Times New Roman" w:hAnsi="Times New Roman" w:cs="Times New Roman"/>
          <w:color w:val="000000" w:themeColor="text1"/>
          <w:sz w:val="24"/>
          <w:szCs w:val="24"/>
          <w:lang w:val="en-US"/>
        </w:rPr>
        <w:t>Acesso em: 18 abr. 2026.</w:t>
      </w:r>
    </w:p>
    <w:p w:rsidR="00395C17" w:rsidRPr="00395C17" w:rsidRDefault="00395C17" w:rsidP="00395C17">
      <w:pPr>
        <w:spacing w:after="240" w:line="240" w:lineRule="auto"/>
        <w:jc w:val="both"/>
        <w:rPr>
          <w:rFonts w:ascii="Times New Roman" w:hAnsi="Times New Roman" w:cs="Times New Roman"/>
          <w:color w:val="000000" w:themeColor="text1"/>
          <w:sz w:val="24"/>
          <w:szCs w:val="24"/>
          <w:lang w:val="en-US"/>
        </w:rPr>
      </w:pPr>
      <w:r w:rsidRPr="00395C17">
        <w:rPr>
          <w:rFonts w:ascii="Times New Roman" w:hAnsi="Times New Roman" w:cs="Times New Roman"/>
          <w:color w:val="000000" w:themeColor="text1"/>
          <w:sz w:val="24"/>
          <w:szCs w:val="24"/>
          <w:lang w:val="en-US"/>
        </w:rPr>
        <w:t>ELKINGTON, John et al. The triple bottom line. </w:t>
      </w:r>
      <w:r w:rsidRPr="00395C17">
        <w:rPr>
          <w:rFonts w:ascii="Times New Roman" w:hAnsi="Times New Roman" w:cs="Times New Roman"/>
          <w:b/>
          <w:bCs/>
          <w:color w:val="000000" w:themeColor="text1"/>
          <w:sz w:val="24"/>
          <w:szCs w:val="24"/>
          <w:lang w:val="en-US"/>
        </w:rPr>
        <w:t>Environmental management: Readings and cases</w:t>
      </w:r>
      <w:r w:rsidRPr="00395C17">
        <w:rPr>
          <w:rFonts w:ascii="Times New Roman" w:hAnsi="Times New Roman" w:cs="Times New Roman"/>
          <w:color w:val="000000" w:themeColor="text1"/>
          <w:sz w:val="24"/>
          <w:szCs w:val="24"/>
          <w:lang w:val="en-US"/>
        </w:rPr>
        <w:t>, v. 2, n. 1997, p. 49-66, 1997.</w:t>
      </w:r>
    </w:p>
    <w:p w:rsidR="00395C17" w:rsidRPr="00395C17" w:rsidRDefault="00395C17" w:rsidP="00395C17">
      <w:pPr>
        <w:spacing w:after="240" w:line="240" w:lineRule="auto"/>
        <w:jc w:val="both"/>
        <w:rPr>
          <w:rFonts w:ascii="Times New Roman" w:hAnsi="Times New Roman" w:cs="Times New Roman"/>
          <w:sz w:val="24"/>
          <w:szCs w:val="24"/>
          <w:lang w:val="en-US"/>
        </w:rPr>
      </w:pPr>
      <w:r w:rsidRPr="00395C17">
        <w:rPr>
          <w:rFonts w:ascii="Times New Roman" w:hAnsi="Times New Roman" w:cs="Times New Roman"/>
          <w:sz w:val="24"/>
          <w:szCs w:val="24"/>
        </w:rPr>
        <w:t xml:space="preserve">Empresa sustentável: porque a Natura está entre as maiores. </w:t>
      </w:r>
      <w:r w:rsidRPr="00395C17">
        <w:rPr>
          <w:rFonts w:ascii="Times New Roman" w:hAnsi="Times New Roman" w:cs="Times New Roman"/>
          <w:b/>
          <w:bCs/>
          <w:sz w:val="24"/>
          <w:szCs w:val="24"/>
        </w:rPr>
        <w:t>Natura</w:t>
      </w:r>
      <w:r w:rsidRPr="00395C17">
        <w:rPr>
          <w:rFonts w:ascii="Times New Roman" w:hAnsi="Times New Roman" w:cs="Times New Roman"/>
          <w:sz w:val="24"/>
          <w:szCs w:val="24"/>
        </w:rPr>
        <w:t>, 2025. Disponível em: &lt;</w:t>
      </w:r>
      <w:hyperlink r:id="rId13">
        <w:r w:rsidRPr="00395C17">
          <w:rPr>
            <w:rFonts w:ascii="Times New Roman" w:hAnsi="Times New Roman" w:cs="Times New Roman"/>
            <w:sz w:val="24"/>
            <w:szCs w:val="24"/>
          </w:rPr>
          <w:t>https://www.natura.com.br/blog/mais-natura/natura-e-uma-das-empresas-mais-sustentaveis-do-mundo</w:t>
        </w:r>
      </w:hyperlink>
      <w:r w:rsidRPr="00395C17">
        <w:rPr>
          <w:rFonts w:ascii="Times New Roman" w:hAnsi="Times New Roman" w:cs="Times New Roman"/>
          <w:sz w:val="24"/>
          <w:szCs w:val="24"/>
        </w:rPr>
        <w:t xml:space="preserve">&gt;. </w:t>
      </w:r>
      <w:r w:rsidRPr="00395C17">
        <w:rPr>
          <w:rFonts w:ascii="Times New Roman" w:hAnsi="Times New Roman" w:cs="Times New Roman"/>
          <w:sz w:val="24"/>
          <w:szCs w:val="24"/>
          <w:lang w:val="en-US"/>
        </w:rPr>
        <w:t>Acesso em: 24 nov. 2025.</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lang w:val="en-US"/>
        </w:rPr>
        <w:t>FREEMAN, R. Edward. </w:t>
      </w:r>
      <w:r w:rsidRPr="00395C17">
        <w:rPr>
          <w:rFonts w:ascii="Times New Roman" w:hAnsi="Times New Roman" w:cs="Times New Roman"/>
          <w:b/>
          <w:bCs/>
          <w:sz w:val="24"/>
          <w:szCs w:val="24"/>
          <w:lang w:val="en-US"/>
        </w:rPr>
        <w:t>Strategic management: A stakeholder approach</w:t>
      </w:r>
      <w:r w:rsidRPr="00395C17">
        <w:rPr>
          <w:rFonts w:ascii="Times New Roman" w:hAnsi="Times New Roman" w:cs="Times New Roman"/>
          <w:sz w:val="24"/>
          <w:szCs w:val="24"/>
          <w:lang w:val="en-US"/>
        </w:rPr>
        <w:t xml:space="preserve">. </w:t>
      </w:r>
      <w:r w:rsidRPr="00395C17">
        <w:rPr>
          <w:rFonts w:ascii="Times New Roman" w:hAnsi="Times New Roman" w:cs="Times New Roman"/>
          <w:sz w:val="24"/>
          <w:szCs w:val="24"/>
        </w:rPr>
        <w:t>Cambridge university press, 2010.</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GIACON, Fabiana P.; FONTES, Ketilin M.; GRAZZIA, Antônio R. </w:t>
      </w:r>
      <w:r w:rsidRPr="00395C17">
        <w:rPr>
          <w:rFonts w:ascii="Times New Roman" w:hAnsi="Times New Roman" w:cs="Times New Roman"/>
          <w:i/>
          <w:iCs/>
          <w:sz w:val="24"/>
          <w:szCs w:val="24"/>
        </w:rPr>
        <w:t>Metodologia científica e gestão de projetos.</w:t>
      </w:r>
      <w:r w:rsidRPr="00395C17">
        <w:rPr>
          <w:rFonts w:ascii="Times New Roman" w:hAnsi="Times New Roman" w:cs="Times New Roman"/>
          <w:sz w:val="24"/>
          <w:szCs w:val="24"/>
        </w:rPr>
        <w:t xml:space="preserve"> (Série eixos). </w:t>
      </w:r>
      <w:r w:rsidRPr="00395C17">
        <w:rPr>
          <w:rFonts w:ascii="Times New Roman" w:hAnsi="Times New Roman" w:cs="Times New Roman"/>
          <w:b/>
          <w:bCs/>
          <w:sz w:val="24"/>
          <w:szCs w:val="24"/>
        </w:rPr>
        <w:t>Rio de Janeiro: Érica</w:t>
      </w:r>
      <w:r w:rsidRPr="00395C17">
        <w:rPr>
          <w:rFonts w:ascii="Times New Roman" w:hAnsi="Times New Roman" w:cs="Times New Roman"/>
          <w:sz w:val="24"/>
          <w:szCs w:val="24"/>
        </w:rPr>
        <w:t xml:space="preserve">, 2017. </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GIL, Antonio C. </w:t>
      </w:r>
      <w:r w:rsidRPr="00395C17">
        <w:rPr>
          <w:rFonts w:ascii="Times New Roman" w:hAnsi="Times New Roman" w:cs="Times New Roman"/>
          <w:b/>
          <w:bCs/>
          <w:sz w:val="24"/>
          <w:szCs w:val="24"/>
        </w:rPr>
        <w:t>Como Fazer Pesquisa Qualitativa.</w:t>
      </w:r>
      <w:r w:rsidRPr="00395C17">
        <w:rPr>
          <w:rFonts w:ascii="Times New Roman" w:hAnsi="Times New Roman" w:cs="Times New Roman"/>
          <w:sz w:val="24"/>
          <w:szCs w:val="24"/>
        </w:rPr>
        <w:t xml:space="preserve"> Rio de Janeiro: Atlas, 2021. E-book.</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Greenwashing: entenda o que é e aprenda a se defender de propagandas falsas. </w:t>
      </w:r>
      <w:r w:rsidRPr="00395C17">
        <w:rPr>
          <w:rFonts w:ascii="Times New Roman" w:hAnsi="Times New Roman" w:cs="Times New Roman"/>
          <w:b/>
          <w:bCs/>
          <w:sz w:val="24"/>
          <w:szCs w:val="24"/>
        </w:rPr>
        <w:t>gov.br (Ministério da Justiça e Segurança Pública)</w:t>
      </w:r>
      <w:r w:rsidRPr="00395C17">
        <w:rPr>
          <w:rFonts w:ascii="Times New Roman" w:hAnsi="Times New Roman" w:cs="Times New Roman"/>
          <w:sz w:val="24"/>
          <w:szCs w:val="24"/>
        </w:rPr>
        <w:t>, 2025. Disponível em: &lt;</w:t>
      </w:r>
      <w:hyperlink r:id="rId14">
        <w:r w:rsidRPr="00395C17">
          <w:rPr>
            <w:rFonts w:ascii="Times New Roman" w:hAnsi="Times New Roman" w:cs="Times New Roman"/>
            <w:sz w:val="24"/>
            <w:szCs w:val="24"/>
          </w:rPr>
          <w:t>https://www.gov.br/mj/pt-br/assuntos/noticias/greenwashing-entenda-o-que-e-e-aprenda-a-se-defender-de-propagandas-falsas</w:t>
        </w:r>
      </w:hyperlink>
      <w:r w:rsidRPr="00395C17">
        <w:rPr>
          <w:rFonts w:ascii="Times New Roman" w:hAnsi="Times New Roman" w:cs="Times New Roman"/>
          <w:sz w:val="24"/>
          <w:szCs w:val="24"/>
        </w:rPr>
        <w:t xml:space="preserve">&gt;. Acesso em: 08 set. 2025. </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LOZADA, Gisele; NUNES, Karina S. </w:t>
      </w:r>
      <w:r w:rsidRPr="00395C17">
        <w:rPr>
          <w:rFonts w:ascii="Times New Roman" w:hAnsi="Times New Roman" w:cs="Times New Roman"/>
          <w:b/>
          <w:bCs/>
          <w:sz w:val="24"/>
          <w:szCs w:val="24"/>
        </w:rPr>
        <w:t>Metodologia científica.</w:t>
      </w:r>
      <w:r w:rsidRPr="00395C17">
        <w:rPr>
          <w:rFonts w:ascii="Times New Roman" w:hAnsi="Times New Roman" w:cs="Times New Roman"/>
          <w:sz w:val="24"/>
          <w:szCs w:val="24"/>
        </w:rPr>
        <w:t xml:space="preserve"> Porto Alegre: SAGAH, 2019. E-book.</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MARTINI, Matheus; SCHREIBER, Dusan. ESG (Environmental, Social, and Governance) e desenvolvimento sustentável: governança corporativa e impactos sociais no Brasil. </w:t>
      </w:r>
      <w:r w:rsidRPr="00395C17">
        <w:rPr>
          <w:rFonts w:ascii="Times New Roman" w:hAnsi="Times New Roman" w:cs="Times New Roman"/>
          <w:b/>
          <w:bCs/>
          <w:sz w:val="24"/>
          <w:szCs w:val="24"/>
        </w:rPr>
        <w:t>COLÓQUIO-Revista do Desenvolvimento Regional</w:t>
      </w:r>
      <w:r w:rsidRPr="00395C17">
        <w:rPr>
          <w:rFonts w:ascii="Times New Roman" w:hAnsi="Times New Roman" w:cs="Times New Roman"/>
          <w:sz w:val="24"/>
          <w:szCs w:val="24"/>
        </w:rPr>
        <w:t>, v. 22, n. 1, jan./mar., p. 28-42, 2025.</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MAXIMIANO, Antônio César Amaru. </w:t>
      </w:r>
      <w:r w:rsidRPr="00395C17">
        <w:rPr>
          <w:rFonts w:ascii="Times New Roman" w:hAnsi="Times New Roman" w:cs="Times New Roman"/>
          <w:i/>
          <w:iCs/>
          <w:sz w:val="24"/>
          <w:szCs w:val="24"/>
        </w:rPr>
        <w:t xml:space="preserve">Teoria geral da administração: da revolução urbana à revolução digital. </w:t>
      </w:r>
      <w:r w:rsidRPr="00395C17">
        <w:rPr>
          <w:rFonts w:ascii="Times New Roman" w:hAnsi="Times New Roman" w:cs="Times New Roman"/>
          <w:sz w:val="24"/>
          <w:szCs w:val="24"/>
        </w:rPr>
        <w:t xml:space="preserve">8. ed. </w:t>
      </w:r>
      <w:r w:rsidRPr="00395C17">
        <w:rPr>
          <w:rFonts w:ascii="Times New Roman" w:hAnsi="Times New Roman" w:cs="Times New Roman"/>
          <w:b/>
          <w:bCs/>
          <w:sz w:val="24"/>
          <w:szCs w:val="24"/>
        </w:rPr>
        <w:t>São Paulo: Atlas</w:t>
      </w:r>
      <w:r w:rsidRPr="00395C17">
        <w:rPr>
          <w:rFonts w:ascii="Times New Roman" w:hAnsi="Times New Roman" w:cs="Times New Roman"/>
          <w:sz w:val="24"/>
          <w:szCs w:val="24"/>
        </w:rPr>
        <w:t>, 2017.</w:t>
      </w:r>
    </w:p>
    <w:p w:rsidR="00395C17" w:rsidRPr="00395C17" w:rsidRDefault="00395C17" w:rsidP="00395C17">
      <w:pPr>
        <w:spacing w:after="240" w:line="240" w:lineRule="auto"/>
        <w:jc w:val="both"/>
        <w:rPr>
          <w:rFonts w:ascii="Times New Roman" w:hAnsi="Times New Roman" w:cs="Times New Roman"/>
          <w:sz w:val="24"/>
          <w:szCs w:val="24"/>
          <w:lang w:val="en-US"/>
        </w:rPr>
      </w:pPr>
      <w:r w:rsidRPr="00395C17">
        <w:rPr>
          <w:rFonts w:ascii="Times New Roman" w:hAnsi="Times New Roman" w:cs="Times New Roman"/>
          <w:sz w:val="24"/>
          <w:szCs w:val="24"/>
        </w:rPr>
        <w:t>Natura &amp;Co. Relatório Integrado Natura &amp;Co 2024. São Paulo: Natura &amp;Co, 2025. Disponível em: &lt;</w:t>
      </w:r>
      <w:hyperlink r:id="rId15" w:history="1">
        <w:r w:rsidRPr="00395C17">
          <w:rPr>
            <w:rStyle w:val="Hyperlink"/>
            <w:rFonts w:ascii="Times New Roman" w:hAnsi="Times New Roman" w:cs="Times New Roman"/>
            <w:sz w:val="24"/>
            <w:szCs w:val="24"/>
          </w:rPr>
          <w:t>https://ri.natura.com.br/sustentabilidade/relatorios-anuais/</w:t>
        </w:r>
      </w:hyperlink>
      <w:r w:rsidRPr="00395C17">
        <w:rPr>
          <w:rFonts w:ascii="Times New Roman" w:hAnsi="Times New Roman" w:cs="Times New Roman"/>
          <w:sz w:val="24"/>
          <w:szCs w:val="24"/>
        </w:rPr>
        <w:t xml:space="preserve">&gt;. </w:t>
      </w:r>
      <w:r w:rsidRPr="00395C17">
        <w:rPr>
          <w:rFonts w:ascii="Times New Roman" w:hAnsi="Times New Roman" w:cs="Times New Roman"/>
          <w:sz w:val="24"/>
          <w:szCs w:val="24"/>
          <w:lang w:val="en-US"/>
        </w:rPr>
        <w:t>Acesso em: 15 mar.</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lang w:val="en-US"/>
        </w:rPr>
        <w:t>NORMAN, Wayne; MACDONALD, Chris. Getting to the bottom of “triple bottom line”. </w:t>
      </w:r>
      <w:r w:rsidRPr="00395C17">
        <w:rPr>
          <w:rFonts w:ascii="Times New Roman" w:hAnsi="Times New Roman" w:cs="Times New Roman"/>
          <w:b/>
          <w:bCs/>
          <w:sz w:val="24"/>
          <w:szCs w:val="24"/>
        </w:rPr>
        <w:t>Business ethics quarterly</w:t>
      </w:r>
      <w:r w:rsidRPr="00395C17">
        <w:rPr>
          <w:rFonts w:ascii="Times New Roman" w:hAnsi="Times New Roman" w:cs="Times New Roman"/>
          <w:sz w:val="24"/>
          <w:szCs w:val="24"/>
        </w:rPr>
        <w:t>, v. 14, n. 2, p. 243-262, 2004.</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Petrobras. Relatório de Sustentabilidade 2024. Rio de Janeiro: Petrobras, 2025. Disponivel em: &lt;</w:t>
      </w:r>
      <w:hyperlink r:id="rId16" w:history="1">
        <w:r w:rsidRPr="00395C17">
          <w:rPr>
            <w:rStyle w:val="Hyperlink"/>
            <w:rFonts w:ascii="Times New Roman" w:hAnsi="Times New Roman" w:cs="Times New Roman"/>
            <w:sz w:val="24"/>
            <w:szCs w:val="24"/>
          </w:rPr>
          <w:t>https://sustentabilidade.petrobras.com.br/</w:t>
        </w:r>
      </w:hyperlink>
      <w:r w:rsidRPr="00395C17">
        <w:rPr>
          <w:rFonts w:ascii="Times New Roman" w:hAnsi="Times New Roman" w:cs="Times New Roman"/>
          <w:sz w:val="24"/>
          <w:szCs w:val="24"/>
        </w:rPr>
        <w:t>&gt;. Acesso em: 15 mar. 2026.</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SACHS, Ignacy. </w:t>
      </w:r>
      <w:r w:rsidRPr="00395C17">
        <w:rPr>
          <w:rFonts w:ascii="Times New Roman" w:hAnsi="Times New Roman" w:cs="Times New Roman"/>
          <w:b/>
          <w:bCs/>
          <w:sz w:val="24"/>
          <w:szCs w:val="24"/>
        </w:rPr>
        <w:t>Caminhos para o desenvolvimento sustentável</w:t>
      </w:r>
      <w:r w:rsidRPr="00395C17">
        <w:rPr>
          <w:rFonts w:ascii="Times New Roman" w:hAnsi="Times New Roman" w:cs="Times New Roman"/>
          <w:sz w:val="24"/>
          <w:szCs w:val="24"/>
        </w:rPr>
        <w:t>. Editora Garamond, 2000.</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SANTOS, Francisco; MARTINS, Ana Taís. Sustentabilidade ambiental e ESG: o imaginário da ecopropaganda no Brasil. In: </w:t>
      </w:r>
      <w:r w:rsidRPr="00395C17">
        <w:rPr>
          <w:rFonts w:ascii="Times New Roman" w:hAnsi="Times New Roman" w:cs="Times New Roman"/>
          <w:b/>
          <w:bCs/>
          <w:sz w:val="24"/>
          <w:szCs w:val="24"/>
        </w:rPr>
        <w:t>E-Compós</w:t>
      </w:r>
      <w:r w:rsidRPr="00395C17">
        <w:rPr>
          <w:rFonts w:ascii="Times New Roman" w:hAnsi="Times New Roman" w:cs="Times New Roman"/>
          <w:sz w:val="24"/>
          <w:szCs w:val="24"/>
        </w:rPr>
        <w:t>. 2025.</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rPr>
        <w:t xml:space="preserve">SEVERINO, Antônio J. </w:t>
      </w:r>
      <w:r w:rsidRPr="00395C17">
        <w:rPr>
          <w:rFonts w:ascii="Times New Roman" w:hAnsi="Times New Roman" w:cs="Times New Roman"/>
          <w:i/>
          <w:iCs/>
          <w:sz w:val="24"/>
          <w:szCs w:val="24"/>
        </w:rPr>
        <w:t>Metodologia do trabalho científico.</w:t>
      </w:r>
      <w:r w:rsidRPr="00395C17">
        <w:rPr>
          <w:rFonts w:ascii="Times New Roman" w:hAnsi="Times New Roman" w:cs="Times New Roman"/>
          <w:b/>
          <w:bCs/>
          <w:sz w:val="24"/>
          <w:szCs w:val="24"/>
        </w:rPr>
        <w:t xml:space="preserve"> </w:t>
      </w:r>
      <w:r w:rsidRPr="00395C17">
        <w:rPr>
          <w:rFonts w:ascii="Times New Roman" w:hAnsi="Times New Roman" w:cs="Times New Roman"/>
          <w:sz w:val="24"/>
          <w:szCs w:val="24"/>
        </w:rPr>
        <w:t xml:space="preserve">24. ed. </w:t>
      </w:r>
      <w:r w:rsidRPr="00395C17">
        <w:rPr>
          <w:rFonts w:ascii="Times New Roman" w:hAnsi="Times New Roman" w:cs="Times New Roman"/>
          <w:b/>
          <w:bCs/>
          <w:sz w:val="24"/>
          <w:szCs w:val="24"/>
        </w:rPr>
        <w:t>São Paulo: Cortez Editora</w:t>
      </w:r>
      <w:r w:rsidRPr="00395C17">
        <w:rPr>
          <w:rFonts w:ascii="Times New Roman" w:hAnsi="Times New Roman" w:cs="Times New Roman"/>
          <w:sz w:val="24"/>
          <w:szCs w:val="24"/>
        </w:rPr>
        <w:t>, 2017.</w:t>
      </w:r>
    </w:p>
    <w:p w:rsidR="00395C17" w:rsidRPr="00395C17" w:rsidRDefault="00395C17" w:rsidP="00395C17">
      <w:pPr>
        <w:spacing w:after="240" w:line="240" w:lineRule="auto"/>
        <w:jc w:val="both"/>
        <w:rPr>
          <w:rFonts w:ascii="Times New Roman" w:hAnsi="Times New Roman" w:cs="Times New Roman"/>
          <w:sz w:val="24"/>
          <w:szCs w:val="24"/>
          <w:lang w:val="en-US"/>
        </w:rPr>
      </w:pPr>
      <w:r w:rsidRPr="00395C17">
        <w:rPr>
          <w:rFonts w:ascii="Times New Roman" w:hAnsi="Times New Roman" w:cs="Times New Roman"/>
          <w:sz w:val="24"/>
          <w:szCs w:val="24"/>
          <w:lang w:val="en-US"/>
        </w:rPr>
        <w:lastRenderedPageBreak/>
        <w:t>SLAPER, Timothy F.; HALL Tanya J. The triple bottom line: What is it and how does it work. </w:t>
      </w:r>
      <w:r w:rsidRPr="00395C17">
        <w:rPr>
          <w:rFonts w:ascii="Times New Roman" w:hAnsi="Times New Roman" w:cs="Times New Roman"/>
          <w:b/>
          <w:bCs/>
          <w:sz w:val="24"/>
          <w:szCs w:val="24"/>
          <w:lang w:val="en-US"/>
        </w:rPr>
        <w:t>Indiana business review</w:t>
      </w:r>
      <w:r w:rsidRPr="00395C17">
        <w:rPr>
          <w:rFonts w:ascii="Times New Roman" w:hAnsi="Times New Roman" w:cs="Times New Roman"/>
          <w:sz w:val="24"/>
          <w:szCs w:val="24"/>
          <w:lang w:val="en-US"/>
        </w:rPr>
        <w:t>, v. 86, n. 1, p. 4-8, 2011.</w:t>
      </w:r>
    </w:p>
    <w:p w:rsidR="00395C17" w:rsidRPr="00395C17" w:rsidRDefault="00395C17" w:rsidP="00395C17">
      <w:pPr>
        <w:spacing w:after="240" w:line="240" w:lineRule="auto"/>
        <w:jc w:val="both"/>
        <w:rPr>
          <w:rFonts w:ascii="Times New Roman" w:hAnsi="Times New Roman" w:cs="Times New Roman"/>
          <w:sz w:val="24"/>
          <w:szCs w:val="24"/>
          <w:lang w:val="en-US"/>
        </w:rPr>
      </w:pPr>
      <w:r w:rsidRPr="00395C17">
        <w:rPr>
          <w:rFonts w:ascii="Times New Roman" w:hAnsi="Times New Roman" w:cs="Times New Roman"/>
          <w:sz w:val="24"/>
          <w:szCs w:val="24"/>
          <w:lang w:val="en-US"/>
        </w:rPr>
        <w:t>STAHEL, Walter R. </w:t>
      </w:r>
      <w:r w:rsidRPr="00395C17">
        <w:rPr>
          <w:rFonts w:ascii="Times New Roman" w:hAnsi="Times New Roman" w:cs="Times New Roman"/>
          <w:b/>
          <w:bCs/>
          <w:sz w:val="24"/>
          <w:szCs w:val="24"/>
          <w:lang w:val="en-US"/>
        </w:rPr>
        <w:t>The circular economy: A user's guide</w:t>
      </w:r>
      <w:r w:rsidRPr="00395C17">
        <w:rPr>
          <w:rFonts w:ascii="Times New Roman" w:hAnsi="Times New Roman" w:cs="Times New Roman"/>
          <w:sz w:val="24"/>
          <w:szCs w:val="24"/>
          <w:lang w:val="en-US"/>
        </w:rPr>
        <w:t>. Routledge, 2019.</w:t>
      </w:r>
    </w:p>
    <w:p w:rsidR="00395C17" w:rsidRPr="00395C17" w:rsidRDefault="00395C17" w:rsidP="00395C17">
      <w:pPr>
        <w:spacing w:after="240" w:line="240" w:lineRule="auto"/>
        <w:jc w:val="both"/>
        <w:rPr>
          <w:rFonts w:ascii="Times New Roman" w:hAnsi="Times New Roman" w:cs="Times New Roman"/>
          <w:sz w:val="24"/>
          <w:szCs w:val="24"/>
          <w:lang w:val="en-US"/>
        </w:rPr>
      </w:pPr>
      <w:r w:rsidRPr="00395C17">
        <w:rPr>
          <w:rFonts w:ascii="Times New Roman" w:hAnsi="Times New Roman" w:cs="Times New Roman"/>
          <w:sz w:val="24"/>
          <w:szCs w:val="24"/>
          <w:lang w:val="en-US"/>
        </w:rPr>
        <w:t xml:space="preserve">STERN, Nicholas. </w:t>
      </w:r>
      <w:r w:rsidRPr="00395C17">
        <w:rPr>
          <w:rFonts w:ascii="Times New Roman" w:hAnsi="Times New Roman" w:cs="Times New Roman"/>
          <w:b/>
          <w:bCs/>
          <w:sz w:val="24"/>
          <w:szCs w:val="24"/>
          <w:lang w:val="en-US"/>
        </w:rPr>
        <w:t>Stern Review: The economics of climate change.</w:t>
      </w:r>
      <w:r w:rsidRPr="00395C17">
        <w:rPr>
          <w:rFonts w:ascii="Times New Roman" w:hAnsi="Times New Roman" w:cs="Times New Roman"/>
          <w:sz w:val="24"/>
          <w:szCs w:val="24"/>
          <w:lang w:val="en-US"/>
        </w:rPr>
        <w:t xml:space="preserve"> 2006.</w:t>
      </w:r>
    </w:p>
    <w:p w:rsidR="00395C17" w:rsidRPr="00395C17" w:rsidRDefault="00395C17" w:rsidP="00395C17">
      <w:pPr>
        <w:spacing w:after="240" w:line="240" w:lineRule="auto"/>
        <w:jc w:val="both"/>
        <w:rPr>
          <w:rFonts w:ascii="Times New Roman" w:hAnsi="Times New Roman" w:cs="Times New Roman"/>
          <w:sz w:val="24"/>
          <w:szCs w:val="24"/>
        </w:rPr>
      </w:pPr>
      <w:r w:rsidRPr="00395C17">
        <w:rPr>
          <w:rFonts w:ascii="Times New Roman" w:hAnsi="Times New Roman" w:cs="Times New Roman"/>
          <w:sz w:val="24"/>
          <w:szCs w:val="24"/>
          <w:lang w:val="en-US"/>
        </w:rPr>
        <w:t xml:space="preserve">United Nations Conference on the Human Environment, 5-16 June 1972, Stockholm. </w:t>
      </w:r>
      <w:r w:rsidRPr="00395C17">
        <w:rPr>
          <w:rFonts w:ascii="Times New Roman" w:hAnsi="Times New Roman" w:cs="Times New Roman"/>
          <w:b/>
          <w:bCs/>
          <w:sz w:val="24"/>
          <w:szCs w:val="24"/>
        </w:rPr>
        <w:t>United Nations</w:t>
      </w:r>
      <w:r w:rsidRPr="00395C17">
        <w:rPr>
          <w:rFonts w:ascii="Times New Roman" w:hAnsi="Times New Roman" w:cs="Times New Roman"/>
          <w:sz w:val="24"/>
          <w:szCs w:val="24"/>
        </w:rPr>
        <w:t>. Disponível em: &lt;</w:t>
      </w:r>
      <w:hyperlink r:id="rId17">
        <w:r w:rsidRPr="00395C17">
          <w:rPr>
            <w:rFonts w:ascii="Times New Roman" w:hAnsi="Times New Roman" w:cs="Times New Roman"/>
            <w:sz w:val="24"/>
            <w:szCs w:val="24"/>
          </w:rPr>
          <w:t>https://www.un.org/en/conferences/environment/stockholm1972</w:t>
        </w:r>
      </w:hyperlink>
      <w:r w:rsidRPr="00395C17">
        <w:rPr>
          <w:rFonts w:ascii="Times New Roman" w:hAnsi="Times New Roman" w:cs="Times New Roman"/>
          <w:sz w:val="24"/>
          <w:szCs w:val="24"/>
        </w:rPr>
        <w:t xml:space="preserve">&gt;. Acesso em: 08 set. 2025. </w:t>
      </w:r>
    </w:p>
    <w:p w:rsidR="00395C17" w:rsidRPr="00395C17" w:rsidRDefault="00395C17" w:rsidP="00395C17">
      <w:pPr>
        <w:spacing w:after="200" w:line="240" w:lineRule="auto"/>
        <w:jc w:val="both"/>
        <w:rPr>
          <w:rFonts w:ascii="Times New Roman" w:hAnsi="Times New Roman" w:cs="Times New Roman"/>
          <w:sz w:val="24"/>
          <w:szCs w:val="24"/>
        </w:rPr>
      </w:pPr>
    </w:p>
    <w:p w:rsidR="00395C17" w:rsidRPr="00395C17" w:rsidRDefault="00395C17" w:rsidP="00395C17">
      <w:pPr>
        <w:spacing w:after="200" w:line="240" w:lineRule="auto"/>
        <w:jc w:val="both"/>
        <w:rPr>
          <w:rFonts w:ascii="Times New Roman" w:hAnsi="Times New Roman" w:cs="Times New Roman"/>
          <w:sz w:val="24"/>
          <w:szCs w:val="24"/>
        </w:rPr>
      </w:pPr>
    </w:p>
    <w:p w:rsidR="008635CC" w:rsidRPr="00395C17" w:rsidRDefault="008635CC" w:rsidP="00395C17">
      <w:pPr>
        <w:autoSpaceDE w:val="0"/>
        <w:autoSpaceDN w:val="0"/>
        <w:adjustRightInd w:val="0"/>
        <w:spacing w:line="240" w:lineRule="auto"/>
        <w:jc w:val="both"/>
        <w:rPr>
          <w:rFonts w:ascii="Times New Roman" w:hAnsi="Times New Roman" w:cs="Times New Roman"/>
          <w:sz w:val="24"/>
          <w:szCs w:val="24"/>
        </w:rPr>
      </w:pPr>
    </w:p>
    <w:sectPr w:rsidR="008635CC" w:rsidRPr="00395C17" w:rsidSect="00395C17">
      <w:headerReference w:type="default" r:id="rId18"/>
      <w:footerReference w:type="default" r:id="rId19"/>
      <w:footerReference w:type="first" r:id="rId20"/>
      <w:pgSz w:w="11909" w:h="16834"/>
      <w:pgMar w:top="1700" w:right="1133" w:bottom="1133" w:left="1700" w:header="720" w:footer="720" w:gutter="0"/>
      <w:pgNumType w:start="23"/>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4E5" w:rsidRDefault="006F04E5">
      <w:pPr>
        <w:spacing w:line="240" w:lineRule="auto"/>
      </w:pPr>
      <w:r>
        <w:separator/>
      </w:r>
    </w:p>
  </w:endnote>
  <w:endnote w:type="continuationSeparator" w:id="0">
    <w:p w:rsidR="006F04E5" w:rsidRDefault="006F04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458011"/>
      <w:docPartObj>
        <w:docPartGallery w:val="Page Numbers (Bottom of Page)"/>
        <w:docPartUnique/>
      </w:docPartObj>
    </w:sdtPr>
    <w:sdtEndPr/>
    <w:sdtContent>
      <w:p w:rsidR="002C022F" w:rsidRDefault="002C022F">
        <w:pPr>
          <w:pStyle w:val="Rodap"/>
          <w:jc w:val="center"/>
        </w:pPr>
        <w:r>
          <w:fldChar w:fldCharType="begin"/>
        </w:r>
        <w:r>
          <w:instrText>PAGE   \* MERGEFORMAT</w:instrText>
        </w:r>
        <w:r>
          <w:fldChar w:fldCharType="separate"/>
        </w:r>
        <w:r w:rsidR="00395C17">
          <w:rPr>
            <w:noProof/>
          </w:rPr>
          <w:t>37</w:t>
        </w:r>
        <w:r>
          <w:fldChar w:fldCharType="end"/>
        </w:r>
      </w:p>
    </w:sdtContent>
  </w:sdt>
  <w:p w:rsidR="008635CC" w:rsidRDefault="008635CC">
    <w:pPr>
      <w:jc w:val="right"/>
      <w:rPr>
        <w:rFonts w:ascii="Times New Roman" w:eastAsia="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5CC" w:rsidRDefault="008635CC">
    <w:pPr>
      <w:spacing w:line="240" w:lineRule="auto"/>
      <w:jc w:val="both"/>
      <w:rPr>
        <w:rFonts w:ascii="Times New Roman" w:eastAsia="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4E5" w:rsidRDefault="006F04E5">
      <w:pPr>
        <w:spacing w:line="240" w:lineRule="auto"/>
      </w:pPr>
      <w:r>
        <w:separator/>
      </w:r>
    </w:p>
  </w:footnote>
  <w:footnote w:type="continuationSeparator" w:id="0">
    <w:p w:rsidR="006F04E5" w:rsidRDefault="006F04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81F" w:rsidRDefault="00A5681F" w:rsidP="00A5681F">
    <w:pPr>
      <w:pStyle w:val="Cabealho"/>
      <w:jc w:val="center"/>
    </w:pPr>
    <w:r>
      <w:rPr>
        <w:noProof/>
      </w:rPr>
      <w:drawing>
        <wp:inline distT="0" distB="0" distL="0" distR="0" wp14:anchorId="2DA1D7FF">
          <wp:extent cx="3182620" cy="530225"/>
          <wp:effectExtent l="0" t="0" r="0" b="317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2620" cy="5302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55EF"/>
    <w:multiLevelType w:val="hybridMultilevel"/>
    <w:tmpl w:val="0B08B4DE"/>
    <w:lvl w:ilvl="0" w:tplc="6E1A3B30">
      <w:start w:val="1"/>
      <w:numFmt w:val="decimal"/>
      <w:lvlText w:val="%1."/>
      <w:lvlJc w:val="left"/>
      <w:pPr>
        <w:ind w:left="622" w:hanging="360"/>
      </w:pPr>
      <w:rPr>
        <w:rFonts w:hint="default"/>
      </w:rPr>
    </w:lvl>
    <w:lvl w:ilvl="1" w:tplc="04160019" w:tentative="1">
      <w:start w:val="1"/>
      <w:numFmt w:val="lowerLetter"/>
      <w:lvlText w:val="%2."/>
      <w:lvlJc w:val="left"/>
      <w:pPr>
        <w:ind w:left="1342" w:hanging="360"/>
      </w:pPr>
    </w:lvl>
    <w:lvl w:ilvl="2" w:tplc="0416001B" w:tentative="1">
      <w:start w:val="1"/>
      <w:numFmt w:val="lowerRoman"/>
      <w:lvlText w:val="%3."/>
      <w:lvlJc w:val="right"/>
      <w:pPr>
        <w:ind w:left="2062" w:hanging="180"/>
      </w:pPr>
    </w:lvl>
    <w:lvl w:ilvl="3" w:tplc="0416000F" w:tentative="1">
      <w:start w:val="1"/>
      <w:numFmt w:val="decimal"/>
      <w:lvlText w:val="%4."/>
      <w:lvlJc w:val="left"/>
      <w:pPr>
        <w:ind w:left="2782" w:hanging="360"/>
      </w:pPr>
    </w:lvl>
    <w:lvl w:ilvl="4" w:tplc="04160019" w:tentative="1">
      <w:start w:val="1"/>
      <w:numFmt w:val="lowerLetter"/>
      <w:lvlText w:val="%5."/>
      <w:lvlJc w:val="left"/>
      <w:pPr>
        <w:ind w:left="3502" w:hanging="360"/>
      </w:pPr>
    </w:lvl>
    <w:lvl w:ilvl="5" w:tplc="0416001B" w:tentative="1">
      <w:start w:val="1"/>
      <w:numFmt w:val="lowerRoman"/>
      <w:lvlText w:val="%6."/>
      <w:lvlJc w:val="right"/>
      <w:pPr>
        <w:ind w:left="4222" w:hanging="180"/>
      </w:pPr>
    </w:lvl>
    <w:lvl w:ilvl="6" w:tplc="0416000F" w:tentative="1">
      <w:start w:val="1"/>
      <w:numFmt w:val="decimal"/>
      <w:lvlText w:val="%7."/>
      <w:lvlJc w:val="left"/>
      <w:pPr>
        <w:ind w:left="4942" w:hanging="360"/>
      </w:pPr>
    </w:lvl>
    <w:lvl w:ilvl="7" w:tplc="04160019" w:tentative="1">
      <w:start w:val="1"/>
      <w:numFmt w:val="lowerLetter"/>
      <w:lvlText w:val="%8."/>
      <w:lvlJc w:val="left"/>
      <w:pPr>
        <w:ind w:left="5662" w:hanging="360"/>
      </w:pPr>
    </w:lvl>
    <w:lvl w:ilvl="8" w:tplc="0416001B" w:tentative="1">
      <w:start w:val="1"/>
      <w:numFmt w:val="lowerRoman"/>
      <w:lvlText w:val="%9."/>
      <w:lvlJc w:val="right"/>
      <w:pPr>
        <w:ind w:left="6382" w:hanging="180"/>
      </w:pPr>
    </w:lvl>
  </w:abstractNum>
  <w:abstractNum w:abstractNumId="1" w15:restartNumberingAfterBreak="0">
    <w:nsid w:val="0ACB493A"/>
    <w:multiLevelType w:val="hybridMultilevel"/>
    <w:tmpl w:val="478A06C0"/>
    <w:lvl w:ilvl="0" w:tplc="3B4ACEDA">
      <w:start w:val="1"/>
      <w:numFmt w:val="bullet"/>
      <w:pStyle w:val="Commarcadores4"/>
      <w:lvlText w:val=""/>
      <w:lvlJc w:val="left"/>
      <w:pPr>
        <w:tabs>
          <w:tab w:val="num" w:pos="2190"/>
        </w:tabs>
        <w:ind w:left="2190" w:hanging="360"/>
      </w:pPr>
      <w:rPr>
        <w:rFonts w:ascii="Symbol" w:hAnsi="Symbol" w:hint="default"/>
      </w:rPr>
    </w:lvl>
    <w:lvl w:ilvl="1" w:tplc="04160003" w:tentative="1">
      <w:start w:val="1"/>
      <w:numFmt w:val="bullet"/>
      <w:lvlText w:val="o"/>
      <w:lvlJc w:val="left"/>
      <w:pPr>
        <w:tabs>
          <w:tab w:val="num" w:pos="2704"/>
        </w:tabs>
        <w:ind w:left="2704" w:hanging="360"/>
      </w:pPr>
      <w:rPr>
        <w:rFonts w:ascii="Courier New" w:hAnsi="Courier New" w:hint="default"/>
      </w:rPr>
    </w:lvl>
    <w:lvl w:ilvl="2" w:tplc="04160005">
      <w:start w:val="1"/>
      <w:numFmt w:val="bullet"/>
      <w:lvlText w:val=""/>
      <w:lvlJc w:val="left"/>
      <w:pPr>
        <w:tabs>
          <w:tab w:val="num" w:pos="3424"/>
        </w:tabs>
        <w:ind w:left="3424" w:hanging="360"/>
      </w:pPr>
      <w:rPr>
        <w:rFonts w:ascii="Wingdings" w:hAnsi="Wingdings" w:hint="default"/>
      </w:rPr>
    </w:lvl>
    <w:lvl w:ilvl="3" w:tplc="04160001" w:tentative="1">
      <w:start w:val="1"/>
      <w:numFmt w:val="bullet"/>
      <w:lvlText w:val=""/>
      <w:lvlJc w:val="left"/>
      <w:pPr>
        <w:tabs>
          <w:tab w:val="num" w:pos="4144"/>
        </w:tabs>
        <w:ind w:left="4144" w:hanging="360"/>
      </w:pPr>
      <w:rPr>
        <w:rFonts w:ascii="Symbol" w:hAnsi="Symbol" w:hint="default"/>
      </w:rPr>
    </w:lvl>
    <w:lvl w:ilvl="4" w:tplc="04160003" w:tentative="1">
      <w:start w:val="1"/>
      <w:numFmt w:val="bullet"/>
      <w:lvlText w:val="o"/>
      <w:lvlJc w:val="left"/>
      <w:pPr>
        <w:tabs>
          <w:tab w:val="num" w:pos="4864"/>
        </w:tabs>
        <w:ind w:left="4864" w:hanging="360"/>
      </w:pPr>
      <w:rPr>
        <w:rFonts w:ascii="Courier New" w:hAnsi="Courier New" w:hint="default"/>
      </w:rPr>
    </w:lvl>
    <w:lvl w:ilvl="5" w:tplc="04160005" w:tentative="1">
      <w:start w:val="1"/>
      <w:numFmt w:val="bullet"/>
      <w:lvlText w:val=""/>
      <w:lvlJc w:val="left"/>
      <w:pPr>
        <w:tabs>
          <w:tab w:val="num" w:pos="5584"/>
        </w:tabs>
        <w:ind w:left="5584" w:hanging="360"/>
      </w:pPr>
      <w:rPr>
        <w:rFonts w:ascii="Wingdings" w:hAnsi="Wingdings" w:hint="default"/>
      </w:rPr>
    </w:lvl>
    <w:lvl w:ilvl="6" w:tplc="04160001" w:tentative="1">
      <w:start w:val="1"/>
      <w:numFmt w:val="bullet"/>
      <w:lvlText w:val=""/>
      <w:lvlJc w:val="left"/>
      <w:pPr>
        <w:tabs>
          <w:tab w:val="num" w:pos="6304"/>
        </w:tabs>
        <w:ind w:left="6304" w:hanging="360"/>
      </w:pPr>
      <w:rPr>
        <w:rFonts w:ascii="Symbol" w:hAnsi="Symbol" w:hint="default"/>
      </w:rPr>
    </w:lvl>
    <w:lvl w:ilvl="7" w:tplc="04160003">
      <w:start w:val="1"/>
      <w:numFmt w:val="bullet"/>
      <w:lvlText w:val="o"/>
      <w:lvlJc w:val="left"/>
      <w:pPr>
        <w:tabs>
          <w:tab w:val="num" w:pos="7024"/>
        </w:tabs>
        <w:ind w:left="7024" w:hanging="360"/>
      </w:pPr>
      <w:rPr>
        <w:rFonts w:ascii="Courier New" w:hAnsi="Courier New" w:hint="default"/>
      </w:rPr>
    </w:lvl>
    <w:lvl w:ilvl="8" w:tplc="04160005" w:tentative="1">
      <w:start w:val="1"/>
      <w:numFmt w:val="bullet"/>
      <w:lvlText w:val=""/>
      <w:lvlJc w:val="left"/>
      <w:pPr>
        <w:tabs>
          <w:tab w:val="num" w:pos="7744"/>
        </w:tabs>
        <w:ind w:left="7744" w:hanging="360"/>
      </w:pPr>
      <w:rPr>
        <w:rFonts w:ascii="Wingdings" w:hAnsi="Wingdings" w:hint="default"/>
      </w:rPr>
    </w:lvl>
  </w:abstractNum>
  <w:abstractNum w:abstractNumId="2" w15:restartNumberingAfterBreak="0">
    <w:nsid w:val="1E345FEF"/>
    <w:multiLevelType w:val="hybridMultilevel"/>
    <w:tmpl w:val="B3C2B8D8"/>
    <w:lvl w:ilvl="0" w:tplc="9DE2943E">
      <w:start w:val="1"/>
      <w:numFmt w:val="decimal"/>
      <w:lvlText w:val="%1."/>
      <w:lvlJc w:val="left"/>
      <w:pPr>
        <w:ind w:left="712" w:hanging="450"/>
      </w:pPr>
      <w:rPr>
        <w:rFonts w:hint="default"/>
      </w:rPr>
    </w:lvl>
    <w:lvl w:ilvl="1" w:tplc="04160019" w:tentative="1">
      <w:start w:val="1"/>
      <w:numFmt w:val="lowerLetter"/>
      <w:lvlText w:val="%2."/>
      <w:lvlJc w:val="left"/>
      <w:pPr>
        <w:ind w:left="1342" w:hanging="360"/>
      </w:pPr>
    </w:lvl>
    <w:lvl w:ilvl="2" w:tplc="0416001B" w:tentative="1">
      <w:start w:val="1"/>
      <w:numFmt w:val="lowerRoman"/>
      <w:lvlText w:val="%3."/>
      <w:lvlJc w:val="right"/>
      <w:pPr>
        <w:ind w:left="2062" w:hanging="180"/>
      </w:pPr>
    </w:lvl>
    <w:lvl w:ilvl="3" w:tplc="0416000F" w:tentative="1">
      <w:start w:val="1"/>
      <w:numFmt w:val="decimal"/>
      <w:lvlText w:val="%4."/>
      <w:lvlJc w:val="left"/>
      <w:pPr>
        <w:ind w:left="2782" w:hanging="360"/>
      </w:pPr>
    </w:lvl>
    <w:lvl w:ilvl="4" w:tplc="04160019" w:tentative="1">
      <w:start w:val="1"/>
      <w:numFmt w:val="lowerLetter"/>
      <w:lvlText w:val="%5."/>
      <w:lvlJc w:val="left"/>
      <w:pPr>
        <w:ind w:left="3502" w:hanging="360"/>
      </w:pPr>
    </w:lvl>
    <w:lvl w:ilvl="5" w:tplc="0416001B" w:tentative="1">
      <w:start w:val="1"/>
      <w:numFmt w:val="lowerRoman"/>
      <w:lvlText w:val="%6."/>
      <w:lvlJc w:val="right"/>
      <w:pPr>
        <w:ind w:left="4222" w:hanging="180"/>
      </w:pPr>
    </w:lvl>
    <w:lvl w:ilvl="6" w:tplc="0416000F" w:tentative="1">
      <w:start w:val="1"/>
      <w:numFmt w:val="decimal"/>
      <w:lvlText w:val="%7."/>
      <w:lvlJc w:val="left"/>
      <w:pPr>
        <w:ind w:left="4942" w:hanging="360"/>
      </w:pPr>
    </w:lvl>
    <w:lvl w:ilvl="7" w:tplc="04160019" w:tentative="1">
      <w:start w:val="1"/>
      <w:numFmt w:val="lowerLetter"/>
      <w:lvlText w:val="%8."/>
      <w:lvlJc w:val="left"/>
      <w:pPr>
        <w:ind w:left="5662" w:hanging="360"/>
      </w:pPr>
    </w:lvl>
    <w:lvl w:ilvl="8" w:tplc="0416001B" w:tentative="1">
      <w:start w:val="1"/>
      <w:numFmt w:val="lowerRoman"/>
      <w:lvlText w:val="%9."/>
      <w:lvlJc w:val="right"/>
      <w:pPr>
        <w:ind w:left="6382" w:hanging="180"/>
      </w:pPr>
    </w:lvl>
  </w:abstractNum>
  <w:abstractNum w:abstractNumId="3" w15:restartNumberingAfterBreak="0">
    <w:nsid w:val="21113BD1"/>
    <w:multiLevelType w:val="hybridMultilevel"/>
    <w:tmpl w:val="F4282342"/>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 w15:restartNumberingAfterBreak="0">
    <w:nsid w:val="21BE3381"/>
    <w:multiLevelType w:val="multilevel"/>
    <w:tmpl w:val="1F16EF48"/>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48B1953"/>
    <w:multiLevelType w:val="hybridMultilevel"/>
    <w:tmpl w:val="1ED408EA"/>
    <w:lvl w:ilvl="0" w:tplc="FFB2EC42">
      <w:start w:val="4"/>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6" w15:restartNumberingAfterBreak="0">
    <w:nsid w:val="2DBA7C2F"/>
    <w:multiLevelType w:val="hybridMultilevel"/>
    <w:tmpl w:val="D376F580"/>
    <w:lvl w:ilvl="0" w:tplc="994EB2CA">
      <w:start w:val="1"/>
      <w:numFmt w:val="bullet"/>
      <w:lvlText w:val="•"/>
      <w:lvlJc w:val="left"/>
      <w:pPr>
        <w:ind w:left="720" w:hanging="360"/>
      </w:pPr>
      <w:rPr>
        <w:rFonts w:ascii="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E8136EC"/>
    <w:multiLevelType w:val="multilevel"/>
    <w:tmpl w:val="6B9C9AD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C10AB3"/>
    <w:multiLevelType w:val="hybridMultilevel"/>
    <w:tmpl w:val="25C44C36"/>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0FF2C38"/>
    <w:multiLevelType w:val="multilevel"/>
    <w:tmpl w:val="2410C3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244" w:hanging="720"/>
      </w:pPr>
      <w:rPr>
        <w:rFonts w:hint="default"/>
      </w:rPr>
    </w:lvl>
    <w:lvl w:ilvl="3">
      <w:start w:val="1"/>
      <w:numFmt w:val="decimal"/>
      <w:lvlText w:val="%1.%2.%3.%4"/>
      <w:lvlJc w:val="left"/>
      <w:pPr>
        <w:ind w:left="1506" w:hanging="720"/>
      </w:pPr>
      <w:rPr>
        <w:rFonts w:hint="default"/>
      </w:rPr>
    </w:lvl>
    <w:lvl w:ilvl="4">
      <w:start w:val="1"/>
      <w:numFmt w:val="decimal"/>
      <w:lvlText w:val="%1.%2.%3.%4.%5"/>
      <w:lvlJc w:val="left"/>
      <w:pPr>
        <w:ind w:left="2128" w:hanging="1080"/>
      </w:pPr>
      <w:rPr>
        <w:rFonts w:hint="default"/>
      </w:rPr>
    </w:lvl>
    <w:lvl w:ilvl="5">
      <w:start w:val="1"/>
      <w:numFmt w:val="decimal"/>
      <w:lvlText w:val="%1.%2.%3.%4.%5.%6"/>
      <w:lvlJc w:val="left"/>
      <w:pPr>
        <w:ind w:left="2390" w:hanging="1080"/>
      </w:pPr>
      <w:rPr>
        <w:rFonts w:hint="default"/>
      </w:rPr>
    </w:lvl>
    <w:lvl w:ilvl="6">
      <w:start w:val="1"/>
      <w:numFmt w:val="decimal"/>
      <w:lvlText w:val="%1.%2.%3.%4.%5.%6.%7"/>
      <w:lvlJc w:val="left"/>
      <w:pPr>
        <w:ind w:left="3012" w:hanging="1440"/>
      </w:pPr>
      <w:rPr>
        <w:rFonts w:hint="default"/>
      </w:rPr>
    </w:lvl>
    <w:lvl w:ilvl="7">
      <w:start w:val="1"/>
      <w:numFmt w:val="decimal"/>
      <w:lvlText w:val="%1.%2.%3.%4.%5.%6.%7.%8"/>
      <w:lvlJc w:val="left"/>
      <w:pPr>
        <w:ind w:left="3274" w:hanging="1440"/>
      </w:pPr>
      <w:rPr>
        <w:rFonts w:hint="default"/>
      </w:rPr>
    </w:lvl>
    <w:lvl w:ilvl="8">
      <w:start w:val="1"/>
      <w:numFmt w:val="decimal"/>
      <w:lvlText w:val="%1.%2.%3.%4.%5.%6.%7.%8.%9"/>
      <w:lvlJc w:val="left"/>
      <w:pPr>
        <w:ind w:left="3896" w:hanging="1800"/>
      </w:pPr>
      <w:rPr>
        <w:rFonts w:hint="default"/>
      </w:rPr>
    </w:lvl>
  </w:abstractNum>
  <w:abstractNum w:abstractNumId="10" w15:restartNumberingAfterBreak="0">
    <w:nsid w:val="459933BC"/>
    <w:multiLevelType w:val="hybridMultilevel"/>
    <w:tmpl w:val="9FB0A324"/>
    <w:lvl w:ilvl="0" w:tplc="AE98754E">
      <w:start w:val="1"/>
      <w:numFmt w:val="decimal"/>
      <w:lvlText w:val="%1."/>
      <w:lvlJc w:val="left"/>
      <w:pPr>
        <w:ind w:left="622" w:hanging="360"/>
      </w:pPr>
      <w:rPr>
        <w:rFonts w:hint="default"/>
      </w:rPr>
    </w:lvl>
    <w:lvl w:ilvl="1" w:tplc="04160019" w:tentative="1">
      <w:start w:val="1"/>
      <w:numFmt w:val="lowerLetter"/>
      <w:lvlText w:val="%2."/>
      <w:lvlJc w:val="left"/>
      <w:pPr>
        <w:ind w:left="1342" w:hanging="360"/>
      </w:pPr>
    </w:lvl>
    <w:lvl w:ilvl="2" w:tplc="0416001B" w:tentative="1">
      <w:start w:val="1"/>
      <w:numFmt w:val="lowerRoman"/>
      <w:lvlText w:val="%3."/>
      <w:lvlJc w:val="right"/>
      <w:pPr>
        <w:ind w:left="2062" w:hanging="180"/>
      </w:pPr>
    </w:lvl>
    <w:lvl w:ilvl="3" w:tplc="0416000F" w:tentative="1">
      <w:start w:val="1"/>
      <w:numFmt w:val="decimal"/>
      <w:lvlText w:val="%4."/>
      <w:lvlJc w:val="left"/>
      <w:pPr>
        <w:ind w:left="2782" w:hanging="360"/>
      </w:pPr>
    </w:lvl>
    <w:lvl w:ilvl="4" w:tplc="04160019" w:tentative="1">
      <w:start w:val="1"/>
      <w:numFmt w:val="lowerLetter"/>
      <w:lvlText w:val="%5."/>
      <w:lvlJc w:val="left"/>
      <w:pPr>
        <w:ind w:left="3502" w:hanging="360"/>
      </w:pPr>
    </w:lvl>
    <w:lvl w:ilvl="5" w:tplc="0416001B" w:tentative="1">
      <w:start w:val="1"/>
      <w:numFmt w:val="lowerRoman"/>
      <w:lvlText w:val="%6."/>
      <w:lvlJc w:val="right"/>
      <w:pPr>
        <w:ind w:left="4222" w:hanging="180"/>
      </w:pPr>
    </w:lvl>
    <w:lvl w:ilvl="6" w:tplc="0416000F" w:tentative="1">
      <w:start w:val="1"/>
      <w:numFmt w:val="decimal"/>
      <w:lvlText w:val="%7."/>
      <w:lvlJc w:val="left"/>
      <w:pPr>
        <w:ind w:left="4942" w:hanging="360"/>
      </w:pPr>
    </w:lvl>
    <w:lvl w:ilvl="7" w:tplc="04160019" w:tentative="1">
      <w:start w:val="1"/>
      <w:numFmt w:val="lowerLetter"/>
      <w:lvlText w:val="%8."/>
      <w:lvlJc w:val="left"/>
      <w:pPr>
        <w:ind w:left="5662" w:hanging="360"/>
      </w:pPr>
    </w:lvl>
    <w:lvl w:ilvl="8" w:tplc="0416001B" w:tentative="1">
      <w:start w:val="1"/>
      <w:numFmt w:val="lowerRoman"/>
      <w:lvlText w:val="%9."/>
      <w:lvlJc w:val="right"/>
      <w:pPr>
        <w:ind w:left="6382" w:hanging="180"/>
      </w:pPr>
    </w:lvl>
  </w:abstractNum>
  <w:abstractNum w:abstractNumId="11" w15:restartNumberingAfterBreak="0">
    <w:nsid w:val="493407F1"/>
    <w:multiLevelType w:val="hybridMultilevel"/>
    <w:tmpl w:val="51160D44"/>
    <w:lvl w:ilvl="0" w:tplc="95184F3E">
      <w:start w:val="4"/>
      <w:numFmt w:val="decimal"/>
      <w:lvlText w:val="%1."/>
      <w:lvlJc w:val="left"/>
      <w:pPr>
        <w:ind w:left="660" w:hanging="360"/>
      </w:pPr>
      <w:rPr>
        <w:rFonts w:hint="default"/>
      </w:rPr>
    </w:lvl>
    <w:lvl w:ilvl="1" w:tplc="04160019" w:tentative="1">
      <w:start w:val="1"/>
      <w:numFmt w:val="lowerLetter"/>
      <w:lvlText w:val="%2."/>
      <w:lvlJc w:val="left"/>
      <w:pPr>
        <w:ind w:left="1380" w:hanging="360"/>
      </w:pPr>
    </w:lvl>
    <w:lvl w:ilvl="2" w:tplc="0416001B" w:tentative="1">
      <w:start w:val="1"/>
      <w:numFmt w:val="lowerRoman"/>
      <w:lvlText w:val="%3."/>
      <w:lvlJc w:val="right"/>
      <w:pPr>
        <w:ind w:left="2100" w:hanging="180"/>
      </w:pPr>
    </w:lvl>
    <w:lvl w:ilvl="3" w:tplc="0416000F" w:tentative="1">
      <w:start w:val="1"/>
      <w:numFmt w:val="decimal"/>
      <w:lvlText w:val="%4."/>
      <w:lvlJc w:val="left"/>
      <w:pPr>
        <w:ind w:left="2820" w:hanging="360"/>
      </w:pPr>
    </w:lvl>
    <w:lvl w:ilvl="4" w:tplc="04160019" w:tentative="1">
      <w:start w:val="1"/>
      <w:numFmt w:val="lowerLetter"/>
      <w:lvlText w:val="%5."/>
      <w:lvlJc w:val="left"/>
      <w:pPr>
        <w:ind w:left="3540" w:hanging="360"/>
      </w:pPr>
    </w:lvl>
    <w:lvl w:ilvl="5" w:tplc="0416001B" w:tentative="1">
      <w:start w:val="1"/>
      <w:numFmt w:val="lowerRoman"/>
      <w:lvlText w:val="%6."/>
      <w:lvlJc w:val="right"/>
      <w:pPr>
        <w:ind w:left="4260" w:hanging="180"/>
      </w:pPr>
    </w:lvl>
    <w:lvl w:ilvl="6" w:tplc="0416000F" w:tentative="1">
      <w:start w:val="1"/>
      <w:numFmt w:val="decimal"/>
      <w:lvlText w:val="%7."/>
      <w:lvlJc w:val="left"/>
      <w:pPr>
        <w:ind w:left="4980" w:hanging="360"/>
      </w:pPr>
    </w:lvl>
    <w:lvl w:ilvl="7" w:tplc="04160019" w:tentative="1">
      <w:start w:val="1"/>
      <w:numFmt w:val="lowerLetter"/>
      <w:lvlText w:val="%8."/>
      <w:lvlJc w:val="left"/>
      <w:pPr>
        <w:ind w:left="5700" w:hanging="360"/>
      </w:pPr>
    </w:lvl>
    <w:lvl w:ilvl="8" w:tplc="0416001B" w:tentative="1">
      <w:start w:val="1"/>
      <w:numFmt w:val="lowerRoman"/>
      <w:lvlText w:val="%9."/>
      <w:lvlJc w:val="right"/>
      <w:pPr>
        <w:ind w:left="6420" w:hanging="180"/>
      </w:pPr>
    </w:lvl>
  </w:abstractNum>
  <w:abstractNum w:abstractNumId="12" w15:restartNumberingAfterBreak="0">
    <w:nsid w:val="4D807C8B"/>
    <w:multiLevelType w:val="hybridMultilevel"/>
    <w:tmpl w:val="38F2E55A"/>
    <w:lvl w:ilvl="0" w:tplc="A0A43060">
      <w:start w:val="1"/>
      <w:numFmt w:val="decimal"/>
      <w:lvlText w:val="%1."/>
      <w:lvlJc w:val="left"/>
      <w:pPr>
        <w:ind w:left="622" w:hanging="360"/>
      </w:pPr>
      <w:rPr>
        <w:rFonts w:hint="default"/>
      </w:rPr>
    </w:lvl>
    <w:lvl w:ilvl="1" w:tplc="04160019" w:tentative="1">
      <w:start w:val="1"/>
      <w:numFmt w:val="lowerLetter"/>
      <w:lvlText w:val="%2."/>
      <w:lvlJc w:val="left"/>
      <w:pPr>
        <w:ind w:left="1342" w:hanging="360"/>
      </w:pPr>
    </w:lvl>
    <w:lvl w:ilvl="2" w:tplc="0416001B" w:tentative="1">
      <w:start w:val="1"/>
      <w:numFmt w:val="lowerRoman"/>
      <w:lvlText w:val="%3."/>
      <w:lvlJc w:val="right"/>
      <w:pPr>
        <w:ind w:left="2062" w:hanging="180"/>
      </w:pPr>
    </w:lvl>
    <w:lvl w:ilvl="3" w:tplc="0416000F" w:tentative="1">
      <w:start w:val="1"/>
      <w:numFmt w:val="decimal"/>
      <w:lvlText w:val="%4."/>
      <w:lvlJc w:val="left"/>
      <w:pPr>
        <w:ind w:left="2782" w:hanging="360"/>
      </w:pPr>
    </w:lvl>
    <w:lvl w:ilvl="4" w:tplc="04160019" w:tentative="1">
      <w:start w:val="1"/>
      <w:numFmt w:val="lowerLetter"/>
      <w:lvlText w:val="%5."/>
      <w:lvlJc w:val="left"/>
      <w:pPr>
        <w:ind w:left="3502" w:hanging="360"/>
      </w:pPr>
    </w:lvl>
    <w:lvl w:ilvl="5" w:tplc="0416001B" w:tentative="1">
      <w:start w:val="1"/>
      <w:numFmt w:val="lowerRoman"/>
      <w:lvlText w:val="%6."/>
      <w:lvlJc w:val="right"/>
      <w:pPr>
        <w:ind w:left="4222" w:hanging="180"/>
      </w:pPr>
    </w:lvl>
    <w:lvl w:ilvl="6" w:tplc="0416000F" w:tentative="1">
      <w:start w:val="1"/>
      <w:numFmt w:val="decimal"/>
      <w:lvlText w:val="%7."/>
      <w:lvlJc w:val="left"/>
      <w:pPr>
        <w:ind w:left="4942" w:hanging="360"/>
      </w:pPr>
    </w:lvl>
    <w:lvl w:ilvl="7" w:tplc="04160019" w:tentative="1">
      <w:start w:val="1"/>
      <w:numFmt w:val="lowerLetter"/>
      <w:lvlText w:val="%8."/>
      <w:lvlJc w:val="left"/>
      <w:pPr>
        <w:ind w:left="5662" w:hanging="360"/>
      </w:pPr>
    </w:lvl>
    <w:lvl w:ilvl="8" w:tplc="0416001B" w:tentative="1">
      <w:start w:val="1"/>
      <w:numFmt w:val="lowerRoman"/>
      <w:lvlText w:val="%9."/>
      <w:lvlJc w:val="right"/>
      <w:pPr>
        <w:ind w:left="6382" w:hanging="180"/>
      </w:pPr>
    </w:lvl>
  </w:abstractNum>
  <w:abstractNum w:abstractNumId="13" w15:restartNumberingAfterBreak="0">
    <w:nsid w:val="4E374DB2"/>
    <w:multiLevelType w:val="hybridMultilevel"/>
    <w:tmpl w:val="86B42484"/>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1DA516E"/>
    <w:multiLevelType w:val="multilevel"/>
    <w:tmpl w:val="4C98EA3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16F2FF4"/>
    <w:multiLevelType w:val="multilevel"/>
    <w:tmpl w:val="A5C87266"/>
    <w:lvl w:ilvl="0">
      <w:start w:val="2"/>
      <w:numFmt w:val="decimal"/>
      <w:lvlText w:val="%1"/>
      <w:lvlJc w:val="left"/>
      <w:pPr>
        <w:ind w:left="360" w:hanging="360"/>
      </w:pPr>
      <w:rPr>
        <w:rFonts w:hint="default"/>
      </w:rPr>
    </w:lvl>
    <w:lvl w:ilvl="1">
      <w:start w:val="2"/>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6" w15:restartNumberingAfterBreak="0">
    <w:nsid w:val="655C50AD"/>
    <w:multiLevelType w:val="multilevel"/>
    <w:tmpl w:val="A1A49C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4B6A8D"/>
    <w:multiLevelType w:val="multilevel"/>
    <w:tmpl w:val="EC30A02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lowerLetter"/>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pStyle w:val="Commarcadores3"/>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709848E0"/>
    <w:multiLevelType w:val="multilevel"/>
    <w:tmpl w:val="2C784E36"/>
    <w:lvl w:ilvl="0">
      <w:start w:val="4"/>
      <w:numFmt w:val="decimal"/>
      <w:lvlText w:val="%1"/>
      <w:lvlJc w:val="left"/>
      <w:pPr>
        <w:ind w:left="1407" w:hanging="360"/>
      </w:pPr>
      <w:rPr>
        <w:rFonts w:hint="default"/>
      </w:rPr>
    </w:lvl>
    <w:lvl w:ilvl="1">
      <w:start w:val="1"/>
      <w:numFmt w:val="decimal"/>
      <w:isLgl/>
      <w:lvlText w:val="%1.%2"/>
      <w:lvlJc w:val="left"/>
      <w:pPr>
        <w:ind w:left="1407" w:hanging="360"/>
      </w:pPr>
      <w:rPr>
        <w:rFonts w:hint="default"/>
      </w:rPr>
    </w:lvl>
    <w:lvl w:ilvl="2">
      <w:start w:val="1"/>
      <w:numFmt w:val="decimal"/>
      <w:isLgl/>
      <w:lvlText w:val="%1.%2.%3"/>
      <w:lvlJc w:val="left"/>
      <w:pPr>
        <w:ind w:left="1767"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127" w:hanging="1080"/>
      </w:pPr>
      <w:rPr>
        <w:rFonts w:hint="default"/>
      </w:rPr>
    </w:lvl>
    <w:lvl w:ilvl="5">
      <w:start w:val="1"/>
      <w:numFmt w:val="decimal"/>
      <w:isLgl/>
      <w:lvlText w:val="%1.%2.%3.%4.%5.%6"/>
      <w:lvlJc w:val="left"/>
      <w:pPr>
        <w:ind w:left="2127" w:hanging="1080"/>
      </w:pPr>
      <w:rPr>
        <w:rFonts w:hint="default"/>
      </w:rPr>
    </w:lvl>
    <w:lvl w:ilvl="6">
      <w:start w:val="1"/>
      <w:numFmt w:val="decimal"/>
      <w:isLgl/>
      <w:lvlText w:val="%1.%2.%3.%4.%5.%6.%7"/>
      <w:lvlJc w:val="left"/>
      <w:pPr>
        <w:ind w:left="2487" w:hanging="1440"/>
      </w:pPr>
      <w:rPr>
        <w:rFonts w:hint="default"/>
      </w:rPr>
    </w:lvl>
    <w:lvl w:ilvl="7">
      <w:start w:val="1"/>
      <w:numFmt w:val="decimal"/>
      <w:isLgl/>
      <w:lvlText w:val="%1.%2.%3.%4.%5.%6.%7.%8"/>
      <w:lvlJc w:val="left"/>
      <w:pPr>
        <w:ind w:left="2487" w:hanging="1440"/>
      </w:pPr>
      <w:rPr>
        <w:rFonts w:hint="default"/>
      </w:rPr>
    </w:lvl>
    <w:lvl w:ilvl="8">
      <w:start w:val="1"/>
      <w:numFmt w:val="decimal"/>
      <w:isLgl/>
      <w:lvlText w:val="%1.%2.%3.%4.%5.%6.%7.%8.%9"/>
      <w:lvlJc w:val="left"/>
      <w:pPr>
        <w:ind w:left="2847" w:hanging="1800"/>
      </w:pPr>
      <w:rPr>
        <w:rFonts w:hint="default"/>
      </w:rPr>
    </w:lvl>
  </w:abstractNum>
  <w:abstractNum w:abstractNumId="19" w15:restartNumberingAfterBreak="0">
    <w:nsid w:val="793C4534"/>
    <w:multiLevelType w:val="hybridMultilevel"/>
    <w:tmpl w:val="06A2BE36"/>
    <w:lvl w:ilvl="0" w:tplc="44DE69A2">
      <w:start w:val="1"/>
      <w:numFmt w:val="bullet"/>
      <w:pStyle w:val="Commarcadores"/>
      <w:lvlText w:val=""/>
      <w:lvlJc w:val="left"/>
      <w:pPr>
        <w:tabs>
          <w:tab w:val="num" w:pos="1428"/>
        </w:tabs>
        <w:ind w:left="1428" w:hanging="360"/>
      </w:pPr>
      <w:rPr>
        <w:rFonts w:ascii="Symbol" w:hAnsi="Symbol" w:hint="default"/>
      </w:rPr>
    </w:lvl>
    <w:lvl w:ilvl="1" w:tplc="D4A6A158">
      <w:start w:val="3"/>
      <w:numFmt w:val="bullet"/>
      <w:lvlText w:val="-"/>
      <w:lvlJc w:val="left"/>
      <w:pPr>
        <w:tabs>
          <w:tab w:val="num" w:pos="2148"/>
        </w:tabs>
        <w:ind w:left="2148" w:hanging="360"/>
      </w:pPr>
      <w:rPr>
        <w:rFonts w:ascii="Times New Roman" w:eastAsia="Times New Roman" w:hAnsi="Times New Roman" w:cs="Times New Roman"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7B471603"/>
    <w:multiLevelType w:val="multilevel"/>
    <w:tmpl w:val="6D586B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3"/>
  </w:num>
  <w:num w:numId="3">
    <w:abstractNumId w:val="1"/>
  </w:num>
  <w:num w:numId="4">
    <w:abstractNumId w:val="17"/>
  </w:num>
  <w:num w:numId="5">
    <w:abstractNumId w:val="19"/>
  </w:num>
  <w:num w:numId="6">
    <w:abstractNumId w:val="18"/>
  </w:num>
  <w:num w:numId="7">
    <w:abstractNumId w:val="9"/>
  </w:num>
  <w:num w:numId="8">
    <w:abstractNumId w:val="2"/>
  </w:num>
  <w:num w:numId="9">
    <w:abstractNumId w:val="10"/>
  </w:num>
  <w:num w:numId="10">
    <w:abstractNumId w:val="12"/>
  </w:num>
  <w:num w:numId="11">
    <w:abstractNumId w:val="0"/>
  </w:num>
  <w:num w:numId="12">
    <w:abstractNumId w:val="14"/>
  </w:num>
  <w:num w:numId="13">
    <w:abstractNumId w:val="13"/>
  </w:num>
  <w:num w:numId="14">
    <w:abstractNumId w:val="4"/>
  </w:num>
  <w:num w:numId="15">
    <w:abstractNumId w:val="15"/>
  </w:num>
  <w:num w:numId="16">
    <w:abstractNumId w:val="16"/>
  </w:num>
  <w:num w:numId="17">
    <w:abstractNumId w:val="5"/>
  </w:num>
  <w:num w:numId="18">
    <w:abstractNumId w:val="11"/>
  </w:num>
  <w:num w:numId="19">
    <w:abstractNumId w:val="8"/>
  </w:num>
  <w:num w:numId="20">
    <w:abstractNumId w:val="7"/>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5CC"/>
    <w:rsid w:val="001954F1"/>
    <w:rsid w:val="002A3E1A"/>
    <w:rsid w:val="002C022F"/>
    <w:rsid w:val="00395C17"/>
    <w:rsid w:val="004E503F"/>
    <w:rsid w:val="005B41AC"/>
    <w:rsid w:val="00614CA3"/>
    <w:rsid w:val="006A2E31"/>
    <w:rsid w:val="006E501B"/>
    <w:rsid w:val="006F04E5"/>
    <w:rsid w:val="008635CC"/>
    <w:rsid w:val="008B5F64"/>
    <w:rsid w:val="00A5681F"/>
    <w:rsid w:val="00C00667"/>
    <w:rsid w:val="00DA42F5"/>
    <w:rsid w:val="00DA6880"/>
    <w:rsid w:val="00E739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3ECD0"/>
  <w15:docId w15:val="{C5C96266-EA91-40C1-84B5-995D47EE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link w:val="Ttulo1Char"/>
    <w:qFormat/>
    <w:pPr>
      <w:keepNext/>
      <w:keepLines/>
      <w:spacing w:before="400" w:after="120"/>
      <w:outlineLvl w:val="0"/>
    </w:pPr>
    <w:rPr>
      <w:sz w:val="40"/>
      <w:szCs w:val="40"/>
    </w:rPr>
  </w:style>
  <w:style w:type="paragraph" w:styleId="Ttulo2">
    <w:name w:val="heading 2"/>
    <w:basedOn w:val="Normal"/>
    <w:next w:val="Normal"/>
    <w:link w:val="Ttulo2Char"/>
    <w:qFormat/>
    <w:pPr>
      <w:keepNext/>
      <w:keepLines/>
      <w:spacing w:before="360" w:after="120"/>
      <w:outlineLvl w:val="1"/>
    </w:pPr>
    <w:rPr>
      <w:sz w:val="32"/>
      <w:szCs w:val="32"/>
    </w:rPr>
  </w:style>
  <w:style w:type="paragraph" w:styleId="Ttulo3">
    <w:name w:val="heading 3"/>
    <w:basedOn w:val="Normal"/>
    <w:next w:val="Normal"/>
    <w:link w:val="Ttulo3Char"/>
    <w:qFormat/>
    <w:pPr>
      <w:keepNext/>
      <w:keepLines/>
      <w:spacing w:before="320" w:after="80"/>
      <w:outlineLvl w:val="2"/>
    </w:pPr>
    <w:rPr>
      <w:color w:val="434343"/>
      <w:sz w:val="28"/>
      <w:szCs w:val="28"/>
    </w:rPr>
  </w:style>
  <w:style w:type="paragraph" w:styleId="Ttulo4">
    <w:name w:val="heading 4"/>
    <w:basedOn w:val="Normal"/>
    <w:next w:val="Normal"/>
    <w:link w:val="Ttulo4Char"/>
    <w:uiPriority w:val="9"/>
    <w:qFormat/>
    <w:pPr>
      <w:keepNext/>
      <w:keepLines/>
      <w:spacing w:before="280" w:after="80"/>
      <w:outlineLvl w:val="3"/>
    </w:pPr>
    <w:rPr>
      <w:color w:val="666666"/>
      <w:sz w:val="24"/>
      <w:szCs w:val="24"/>
    </w:rPr>
  </w:style>
  <w:style w:type="paragraph" w:styleId="Ttulo5">
    <w:name w:val="heading 5"/>
    <w:basedOn w:val="Normal"/>
    <w:next w:val="Normal"/>
    <w:link w:val="Ttulo5Char"/>
    <w:qFormat/>
    <w:pPr>
      <w:keepNext/>
      <w:keepLines/>
      <w:spacing w:before="240" w:after="80"/>
      <w:outlineLvl w:val="4"/>
    </w:pPr>
    <w:rPr>
      <w:color w:val="666666"/>
    </w:rPr>
  </w:style>
  <w:style w:type="paragraph" w:styleId="Ttulo6">
    <w:name w:val="heading 6"/>
    <w:basedOn w:val="Normal"/>
    <w:next w:val="Normal"/>
    <w:link w:val="Ttulo6Char"/>
    <w:qFormat/>
    <w:pPr>
      <w:keepNext/>
      <w:keepLines/>
      <w:spacing w:before="240" w:after="80"/>
      <w:outlineLvl w:val="5"/>
    </w:pPr>
    <w:rPr>
      <w:i/>
      <w:color w:val="666666"/>
    </w:rPr>
  </w:style>
  <w:style w:type="paragraph" w:styleId="Ttulo7">
    <w:name w:val="heading 7"/>
    <w:basedOn w:val="Normal"/>
    <w:next w:val="Normal"/>
    <w:link w:val="Ttulo7Char"/>
    <w:unhideWhenUsed/>
    <w:qFormat/>
    <w:rsid w:val="005B41AC"/>
    <w:pPr>
      <w:keepNext/>
      <w:keepLines/>
      <w:spacing w:before="40" w:line="240" w:lineRule="auto"/>
      <w:outlineLvl w:val="6"/>
    </w:pPr>
    <w:rPr>
      <w:rFonts w:ascii="Times New Roman" w:eastAsiaTheme="majorEastAsia" w:hAnsi="Times New Roman" w:cstheme="majorBidi"/>
      <w:color w:val="595959" w:themeColor="text1" w:themeTint="A6"/>
      <w:sz w:val="24"/>
      <w:szCs w:val="24"/>
    </w:rPr>
  </w:style>
  <w:style w:type="paragraph" w:styleId="Ttulo8">
    <w:name w:val="heading 8"/>
    <w:basedOn w:val="Normal"/>
    <w:next w:val="Normal"/>
    <w:link w:val="Ttulo8Char"/>
    <w:unhideWhenUsed/>
    <w:qFormat/>
    <w:rsid w:val="005B41AC"/>
    <w:pPr>
      <w:keepNext/>
      <w:keepLines/>
      <w:spacing w:line="240" w:lineRule="auto"/>
      <w:outlineLvl w:val="7"/>
    </w:pPr>
    <w:rPr>
      <w:rFonts w:ascii="Times New Roman" w:eastAsiaTheme="majorEastAsia" w:hAnsi="Times New Roman" w:cstheme="majorBidi"/>
      <w:i/>
      <w:iCs/>
      <w:color w:val="272727" w:themeColor="text1" w:themeTint="D8"/>
      <w:sz w:val="24"/>
      <w:szCs w:val="24"/>
    </w:rPr>
  </w:style>
  <w:style w:type="paragraph" w:styleId="Ttulo9">
    <w:name w:val="heading 9"/>
    <w:basedOn w:val="Normal"/>
    <w:next w:val="Normal"/>
    <w:link w:val="Ttulo9Char"/>
    <w:unhideWhenUsed/>
    <w:qFormat/>
    <w:rsid w:val="005B41AC"/>
    <w:pPr>
      <w:keepNext/>
      <w:keepLines/>
      <w:spacing w:line="240" w:lineRule="auto"/>
      <w:outlineLvl w:val="8"/>
    </w:pPr>
    <w:rPr>
      <w:rFonts w:ascii="Times New Roman" w:eastAsiaTheme="majorEastAsia" w:hAnsi="Times New Roman" w:cstheme="majorBidi"/>
      <w:color w:val="272727" w:themeColor="text1" w:themeTint="D8"/>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after="60"/>
    </w:pPr>
    <w:rPr>
      <w:sz w:val="52"/>
      <w:szCs w:val="52"/>
    </w:rPr>
  </w:style>
  <w:style w:type="paragraph" w:styleId="Subttulo">
    <w:name w:val="Subtitle"/>
    <w:basedOn w:val="Normal"/>
    <w:next w:val="Normal"/>
    <w:link w:val="SubttuloChar"/>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A5681F"/>
    <w:pPr>
      <w:tabs>
        <w:tab w:val="center" w:pos="4252"/>
        <w:tab w:val="right" w:pos="8504"/>
      </w:tabs>
      <w:spacing w:line="240" w:lineRule="auto"/>
    </w:pPr>
  </w:style>
  <w:style w:type="character" w:customStyle="1" w:styleId="CabealhoChar">
    <w:name w:val="Cabeçalho Char"/>
    <w:basedOn w:val="Fontepargpadro"/>
    <w:link w:val="Cabealho"/>
    <w:uiPriority w:val="99"/>
    <w:rsid w:val="00A5681F"/>
  </w:style>
  <w:style w:type="paragraph" w:styleId="Rodap">
    <w:name w:val="footer"/>
    <w:basedOn w:val="Normal"/>
    <w:link w:val="RodapChar"/>
    <w:uiPriority w:val="99"/>
    <w:unhideWhenUsed/>
    <w:rsid w:val="00A5681F"/>
    <w:pPr>
      <w:tabs>
        <w:tab w:val="center" w:pos="4252"/>
        <w:tab w:val="right" w:pos="8504"/>
      </w:tabs>
      <w:spacing w:line="240" w:lineRule="auto"/>
    </w:pPr>
  </w:style>
  <w:style w:type="character" w:customStyle="1" w:styleId="RodapChar">
    <w:name w:val="Rodapé Char"/>
    <w:basedOn w:val="Fontepargpadro"/>
    <w:link w:val="Rodap"/>
    <w:uiPriority w:val="99"/>
    <w:rsid w:val="00A5681F"/>
  </w:style>
  <w:style w:type="character" w:customStyle="1" w:styleId="label">
    <w:name w:val="label"/>
    <w:basedOn w:val="Fontepargpadro"/>
    <w:rsid w:val="00A5681F"/>
  </w:style>
  <w:style w:type="character" w:styleId="Hyperlink">
    <w:name w:val="Hyperlink"/>
    <w:basedOn w:val="Fontepargpadro"/>
    <w:uiPriority w:val="99"/>
    <w:unhideWhenUsed/>
    <w:rsid w:val="00A5681F"/>
    <w:rPr>
      <w:color w:val="0000FF" w:themeColor="hyperlink"/>
      <w:u w:val="single"/>
    </w:rPr>
  </w:style>
  <w:style w:type="paragraph" w:styleId="PargrafodaLista">
    <w:name w:val="List Paragraph"/>
    <w:basedOn w:val="Normal"/>
    <w:link w:val="PargrafodaListaChar"/>
    <w:uiPriority w:val="34"/>
    <w:qFormat/>
    <w:rsid w:val="00DA6880"/>
    <w:pPr>
      <w:spacing w:line="360" w:lineRule="auto"/>
      <w:ind w:left="720" w:firstLine="709"/>
      <w:contextualSpacing/>
      <w:jc w:val="both"/>
    </w:pPr>
    <w:rPr>
      <w:rFonts w:ascii="Times New Roman" w:eastAsia="Calibri" w:hAnsi="Times New Roman" w:cs="Times New Roman"/>
      <w:sz w:val="24"/>
      <w:lang w:eastAsia="en-US"/>
    </w:rPr>
  </w:style>
  <w:style w:type="character" w:customStyle="1" w:styleId="PargrafodaListaChar">
    <w:name w:val="Parágrafo da Lista Char"/>
    <w:basedOn w:val="Fontepargpadro"/>
    <w:link w:val="PargrafodaLista"/>
    <w:uiPriority w:val="99"/>
    <w:rsid w:val="00DA6880"/>
    <w:rPr>
      <w:rFonts w:ascii="Times New Roman" w:eastAsia="Calibri" w:hAnsi="Times New Roman" w:cs="Times New Roman"/>
      <w:sz w:val="24"/>
      <w:lang w:eastAsia="en-US"/>
    </w:rPr>
  </w:style>
  <w:style w:type="paragraph" w:styleId="Legenda">
    <w:name w:val="caption"/>
    <w:basedOn w:val="Normal"/>
    <w:next w:val="Normal"/>
    <w:uiPriority w:val="35"/>
    <w:unhideWhenUsed/>
    <w:qFormat/>
    <w:rsid w:val="00DA6880"/>
    <w:pPr>
      <w:spacing w:after="200" w:line="240" w:lineRule="auto"/>
      <w:ind w:firstLine="709"/>
      <w:jc w:val="both"/>
    </w:pPr>
    <w:rPr>
      <w:rFonts w:ascii="Times New Roman" w:eastAsia="Calibri" w:hAnsi="Times New Roman" w:cs="Times New Roman"/>
      <w:i/>
      <w:iCs/>
      <w:color w:val="1F497D" w:themeColor="text2"/>
      <w:sz w:val="18"/>
      <w:szCs w:val="18"/>
      <w:lang w:eastAsia="en-US"/>
    </w:rPr>
  </w:style>
  <w:style w:type="paragraph" w:styleId="Textodenotaderodap">
    <w:name w:val="footnote text"/>
    <w:basedOn w:val="Normal"/>
    <w:link w:val="TextodenotaderodapChar"/>
    <w:semiHidden/>
    <w:unhideWhenUsed/>
    <w:rsid w:val="002C022F"/>
    <w:pPr>
      <w:spacing w:line="240" w:lineRule="auto"/>
    </w:pPr>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semiHidden/>
    <w:rsid w:val="002C022F"/>
    <w:rPr>
      <w:rFonts w:ascii="Times New Roman" w:eastAsia="Times New Roman" w:hAnsi="Times New Roman" w:cs="Times New Roman"/>
      <w:sz w:val="20"/>
      <w:szCs w:val="20"/>
    </w:rPr>
  </w:style>
  <w:style w:type="character" w:styleId="Refdenotaderodap">
    <w:name w:val="footnote reference"/>
    <w:basedOn w:val="Fontepargpadro"/>
    <w:semiHidden/>
    <w:unhideWhenUsed/>
    <w:rsid w:val="002C022F"/>
    <w:rPr>
      <w:vertAlign w:val="superscript"/>
    </w:rPr>
  </w:style>
  <w:style w:type="paragraph" w:styleId="NormalWeb">
    <w:name w:val="Normal (Web)"/>
    <w:basedOn w:val="Normal"/>
    <w:uiPriority w:val="99"/>
    <w:unhideWhenUsed/>
    <w:rsid w:val="002C0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7Char">
    <w:name w:val="Título 7 Char"/>
    <w:basedOn w:val="Fontepargpadro"/>
    <w:link w:val="Ttulo7"/>
    <w:rsid w:val="005B41AC"/>
    <w:rPr>
      <w:rFonts w:ascii="Times New Roman" w:eastAsiaTheme="majorEastAsia" w:hAnsi="Times New Roman" w:cstheme="majorBidi"/>
      <w:color w:val="595959" w:themeColor="text1" w:themeTint="A6"/>
      <w:sz w:val="24"/>
      <w:szCs w:val="24"/>
    </w:rPr>
  </w:style>
  <w:style w:type="character" w:customStyle="1" w:styleId="Ttulo8Char">
    <w:name w:val="Título 8 Char"/>
    <w:basedOn w:val="Fontepargpadro"/>
    <w:link w:val="Ttulo8"/>
    <w:rsid w:val="005B41AC"/>
    <w:rPr>
      <w:rFonts w:ascii="Times New Roman" w:eastAsiaTheme="majorEastAsia" w:hAnsi="Times New Roman" w:cstheme="majorBidi"/>
      <w:i/>
      <w:iCs/>
      <w:color w:val="272727" w:themeColor="text1" w:themeTint="D8"/>
      <w:sz w:val="24"/>
      <w:szCs w:val="24"/>
    </w:rPr>
  </w:style>
  <w:style w:type="character" w:customStyle="1" w:styleId="Ttulo9Char">
    <w:name w:val="Título 9 Char"/>
    <w:basedOn w:val="Fontepargpadro"/>
    <w:link w:val="Ttulo9"/>
    <w:rsid w:val="005B41AC"/>
    <w:rPr>
      <w:rFonts w:ascii="Times New Roman" w:eastAsiaTheme="majorEastAsia" w:hAnsi="Times New Roman" w:cstheme="majorBidi"/>
      <w:color w:val="272727" w:themeColor="text1" w:themeTint="D8"/>
      <w:sz w:val="24"/>
      <w:szCs w:val="24"/>
    </w:rPr>
  </w:style>
  <w:style w:type="character" w:customStyle="1" w:styleId="Ttulo1Char">
    <w:name w:val="Título 1 Char"/>
    <w:basedOn w:val="Fontepargpadro"/>
    <w:link w:val="Ttulo1"/>
    <w:rsid w:val="005B41AC"/>
    <w:rPr>
      <w:sz w:val="40"/>
      <w:szCs w:val="40"/>
    </w:rPr>
  </w:style>
  <w:style w:type="character" w:customStyle="1" w:styleId="Ttulo2Char">
    <w:name w:val="Título 2 Char"/>
    <w:basedOn w:val="Fontepargpadro"/>
    <w:link w:val="Ttulo2"/>
    <w:rsid w:val="005B41AC"/>
    <w:rPr>
      <w:sz w:val="32"/>
      <w:szCs w:val="32"/>
    </w:rPr>
  </w:style>
  <w:style w:type="character" w:customStyle="1" w:styleId="Ttulo3Char">
    <w:name w:val="Título 3 Char"/>
    <w:basedOn w:val="Fontepargpadro"/>
    <w:link w:val="Ttulo3"/>
    <w:rsid w:val="005B41AC"/>
    <w:rPr>
      <w:color w:val="434343"/>
      <w:sz w:val="28"/>
      <w:szCs w:val="28"/>
    </w:rPr>
  </w:style>
  <w:style w:type="character" w:customStyle="1" w:styleId="Ttulo4Char">
    <w:name w:val="Título 4 Char"/>
    <w:basedOn w:val="Fontepargpadro"/>
    <w:link w:val="Ttulo4"/>
    <w:uiPriority w:val="9"/>
    <w:rsid w:val="005B41AC"/>
    <w:rPr>
      <w:color w:val="666666"/>
      <w:sz w:val="24"/>
      <w:szCs w:val="24"/>
    </w:rPr>
  </w:style>
  <w:style w:type="character" w:customStyle="1" w:styleId="Ttulo5Char">
    <w:name w:val="Título 5 Char"/>
    <w:basedOn w:val="Fontepargpadro"/>
    <w:link w:val="Ttulo5"/>
    <w:rsid w:val="005B41AC"/>
    <w:rPr>
      <w:color w:val="666666"/>
    </w:rPr>
  </w:style>
  <w:style w:type="character" w:customStyle="1" w:styleId="Ttulo6Char">
    <w:name w:val="Título 6 Char"/>
    <w:basedOn w:val="Fontepargpadro"/>
    <w:link w:val="Ttulo6"/>
    <w:rsid w:val="005B41AC"/>
    <w:rPr>
      <w:i/>
      <w:color w:val="666666"/>
    </w:rPr>
  </w:style>
  <w:style w:type="character" w:customStyle="1" w:styleId="TtuloChar">
    <w:name w:val="Título Char"/>
    <w:basedOn w:val="Fontepargpadro"/>
    <w:link w:val="Ttulo"/>
    <w:rsid w:val="005B41AC"/>
    <w:rPr>
      <w:sz w:val="52"/>
      <w:szCs w:val="52"/>
    </w:rPr>
  </w:style>
  <w:style w:type="character" w:customStyle="1" w:styleId="SubttuloChar">
    <w:name w:val="Subtítulo Char"/>
    <w:basedOn w:val="Fontepargpadro"/>
    <w:link w:val="Subttulo"/>
    <w:uiPriority w:val="11"/>
    <w:rsid w:val="005B41AC"/>
    <w:rPr>
      <w:color w:val="666666"/>
      <w:sz w:val="30"/>
      <w:szCs w:val="30"/>
    </w:rPr>
  </w:style>
  <w:style w:type="paragraph" w:styleId="Citao">
    <w:name w:val="Quote"/>
    <w:basedOn w:val="Normal"/>
    <w:next w:val="Normal"/>
    <w:link w:val="CitaoChar"/>
    <w:uiPriority w:val="29"/>
    <w:qFormat/>
    <w:rsid w:val="005B41AC"/>
    <w:pPr>
      <w:spacing w:before="160" w:line="240" w:lineRule="auto"/>
      <w:jc w:val="center"/>
    </w:pPr>
    <w:rPr>
      <w:rFonts w:ascii="Times New Roman" w:eastAsia="Times New Roman" w:hAnsi="Times New Roman" w:cs="Times New Roman"/>
      <w:i/>
      <w:iCs/>
      <w:color w:val="404040" w:themeColor="text1" w:themeTint="BF"/>
      <w:sz w:val="24"/>
      <w:szCs w:val="24"/>
    </w:rPr>
  </w:style>
  <w:style w:type="character" w:customStyle="1" w:styleId="CitaoChar">
    <w:name w:val="Citação Char"/>
    <w:basedOn w:val="Fontepargpadro"/>
    <w:link w:val="Citao"/>
    <w:uiPriority w:val="29"/>
    <w:rsid w:val="005B41AC"/>
    <w:rPr>
      <w:rFonts w:ascii="Times New Roman" w:eastAsia="Times New Roman" w:hAnsi="Times New Roman" w:cs="Times New Roman"/>
      <w:i/>
      <w:iCs/>
      <w:color w:val="404040" w:themeColor="text1" w:themeTint="BF"/>
      <w:sz w:val="24"/>
      <w:szCs w:val="24"/>
    </w:rPr>
  </w:style>
  <w:style w:type="character" w:styleId="nfaseIntensa">
    <w:name w:val="Intense Emphasis"/>
    <w:basedOn w:val="Fontepargpadro"/>
    <w:uiPriority w:val="21"/>
    <w:qFormat/>
    <w:rsid w:val="005B41AC"/>
    <w:rPr>
      <w:i/>
      <w:iCs/>
      <w:color w:val="365F91" w:themeColor="accent1" w:themeShade="BF"/>
    </w:rPr>
  </w:style>
  <w:style w:type="paragraph" w:styleId="CitaoIntensa">
    <w:name w:val="Intense Quote"/>
    <w:basedOn w:val="Normal"/>
    <w:next w:val="Normal"/>
    <w:link w:val="CitaoIntensaChar"/>
    <w:uiPriority w:val="30"/>
    <w:qFormat/>
    <w:rsid w:val="005B41AC"/>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imes New Roman" w:eastAsia="Times New Roman" w:hAnsi="Times New Roman" w:cs="Times New Roman"/>
      <w:i/>
      <w:iCs/>
      <w:color w:val="365F91" w:themeColor="accent1" w:themeShade="BF"/>
      <w:sz w:val="24"/>
      <w:szCs w:val="24"/>
    </w:rPr>
  </w:style>
  <w:style w:type="character" w:customStyle="1" w:styleId="CitaoIntensaChar">
    <w:name w:val="Citação Intensa Char"/>
    <w:basedOn w:val="Fontepargpadro"/>
    <w:link w:val="CitaoIntensa"/>
    <w:uiPriority w:val="30"/>
    <w:rsid w:val="005B41AC"/>
    <w:rPr>
      <w:rFonts w:ascii="Times New Roman" w:eastAsia="Times New Roman" w:hAnsi="Times New Roman" w:cs="Times New Roman"/>
      <w:i/>
      <w:iCs/>
      <w:color w:val="365F91" w:themeColor="accent1" w:themeShade="BF"/>
      <w:sz w:val="24"/>
      <w:szCs w:val="24"/>
    </w:rPr>
  </w:style>
  <w:style w:type="character" w:styleId="RefernciaIntensa">
    <w:name w:val="Intense Reference"/>
    <w:basedOn w:val="Fontepargpadro"/>
    <w:uiPriority w:val="32"/>
    <w:qFormat/>
    <w:rsid w:val="005B41AC"/>
    <w:rPr>
      <w:b/>
      <w:bCs/>
      <w:smallCaps/>
      <w:color w:val="365F91" w:themeColor="accent1" w:themeShade="BF"/>
      <w:spacing w:val="5"/>
    </w:rPr>
  </w:style>
  <w:style w:type="character" w:customStyle="1" w:styleId="UnresolvedMention">
    <w:name w:val="Unresolved Mention"/>
    <w:basedOn w:val="Fontepargpadro"/>
    <w:uiPriority w:val="99"/>
    <w:semiHidden/>
    <w:unhideWhenUsed/>
    <w:rsid w:val="005B41AC"/>
    <w:rPr>
      <w:color w:val="605E5C"/>
      <w:shd w:val="clear" w:color="auto" w:fill="E1DFDD"/>
    </w:rPr>
  </w:style>
  <w:style w:type="paragraph" w:styleId="Lista">
    <w:name w:val="List"/>
    <w:basedOn w:val="Normal"/>
    <w:rsid w:val="005B41AC"/>
    <w:pPr>
      <w:spacing w:line="240" w:lineRule="auto"/>
      <w:ind w:left="283" w:hanging="283"/>
    </w:pPr>
    <w:rPr>
      <w:rFonts w:ascii="Times New Roman" w:eastAsia="Times New Roman" w:hAnsi="Times New Roman" w:cs="Times New Roman"/>
      <w:sz w:val="24"/>
      <w:szCs w:val="24"/>
    </w:rPr>
  </w:style>
  <w:style w:type="paragraph" w:styleId="Lista2">
    <w:name w:val="List 2"/>
    <w:basedOn w:val="Normal"/>
    <w:rsid w:val="005B41AC"/>
    <w:pPr>
      <w:spacing w:line="240" w:lineRule="auto"/>
      <w:ind w:left="566" w:hanging="283"/>
    </w:pPr>
    <w:rPr>
      <w:rFonts w:ascii="Times New Roman" w:eastAsia="Times New Roman" w:hAnsi="Times New Roman" w:cs="Times New Roman"/>
      <w:sz w:val="24"/>
      <w:szCs w:val="24"/>
    </w:rPr>
  </w:style>
  <w:style w:type="paragraph" w:styleId="Lista3">
    <w:name w:val="List 3"/>
    <w:basedOn w:val="Normal"/>
    <w:rsid w:val="005B41AC"/>
    <w:pPr>
      <w:spacing w:line="240" w:lineRule="auto"/>
      <w:ind w:left="849" w:hanging="283"/>
    </w:pPr>
    <w:rPr>
      <w:rFonts w:ascii="Times New Roman" w:eastAsia="Times New Roman" w:hAnsi="Times New Roman" w:cs="Times New Roman"/>
      <w:sz w:val="24"/>
      <w:szCs w:val="24"/>
    </w:rPr>
  </w:style>
  <w:style w:type="paragraph" w:styleId="Lista4">
    <w:name w:val="List 4"/>
    <w:basedOn w:val="Normal"/>
    <w:rsid w:val="005B41AC"/>
    <w:pPr>
      <w:spacing w:line="240" w:lineRule="auto"/>
      <w:ind w:left="1132" w:hanging="283"/>
    </w:pPr>
    <w:rPr>
      <w:rFonts w:ascii="Times New Roman" w:eastAsia="Times New Roman" w:hAnsi="Times New Roman" w:cs="Times New Roman"/>
      <w:sz w:val="24"/>
      <w:szCs w:val="24"/>
    </w:rPr>
  </w:style>
  <w:style w:type="paragraph" w:styleId="Lista5">
    <w:name w:val="List 5"/>
    <w:basedOn w:val="Normal"/>
    <w:rsid w:val="005B41AC"/>
    <w:pPr>
      <w:spacing w:line="240" w:lineRule="auto"/>
      <w:ind w:left="1415" w:hanging="283"/>
    </w:pPr>
    <w:rPr>
      <w:rFonts w:ascii="Times New Roman" w:eastAsia="Times New Roman" w:hAnsi="Times New Roman" w:cs="Times New Roman"/>
      <w:sz w:val="24"/>
      <w:szCs w:val="24"/>
    </w:rPr>
  </w:style>
  <w:style w:type="paragraph" w:styleId="Cabealhodamensagem">
    <w:name w:val="Message Header"/>
    <w:basedOn w:val="Normal"/>
    <w:link w:val="CabealhodamensagemChar"/>
    <w:rsid w:val="005B41A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imes New Roman"/>
      <w:sz w:val="24"/>
      <w:szCs w:val="24"/>
    </w:rPr>
  </w:style>
  <w:style w:type="character" w:customStyle="1" w:styleId="CabealhodamensagemChar">
    <w:name w:val="Cabeçalho da mensagem Char"/>
    <w:basedOn w:val="Fontepargpadro"/>
    <w:link w:val="Cabealhodamensagem"/>
    <w:rsid w:val="005B41AC"/>
    <w:rPr>
      <w:rFonts w:eastAsia="Times New Roman"/>
      <w:sz w:val="24"/>
      <w:szCs w:val="24"/>
      <w:shd w:val="pct20" w:color="auto" w:fill="auto"/>
    </w:rPr>
  </w:style>
  <w:style w:type="paragraph" w:styleId="Saudao">
    <w:name w:val="Salutation"/>
    <w:basedOn w:val="Normal"/>
    <w:next w:val="Normal"/>
    <w:link w:val="SaudaoChar"/>
    <w:rsid w:val="005B41AC"/>
    <w:pPr>
      <w:spacing w:line="240" w:lineRule="auto"/>
    </w:pPr>
    <w:rPr>
      <w:rFonts w:ascii="Times New Roman" w:eastAsia="Times New Roman" w:hAnsi="Times New Roman" w:cs="Times New Roman"/>
      <w:sz w:val="24"/>
      <w:szCs w:val="24"/>
    </w:rPr>
  </w:style>
  <w:style w:type="character" w:customStyle="1" w:styleId="SaudaoChar">
    <w:name w:val="Saudação Char"/>
    <w:basedOn w:val="Fontepargpadro"/>
    <w:link w:val="Saudao"/>
    <w:rsid w:val="005B41AC"/>
    <w:rPr>
      <w:rFonts w:ascii="Times New Roman" w:eastAsia="Times New Roman" w:hAnsi="Times New Roman" w:cs="Times New Roman"/>
      <w:sz w:val="24"/>
      <w:szCs w:val="24"/>
    </w:rPr>
  </w:style>
  <w:style w:type="paragraph" w:styleId="Commarcadores">
    <w:name w:val="List Bullet"/>
    <w:basedOn w:val="Normal"/>
    <w:autoRedefine/>
    <w:rsid w:val="005B41AC"/>
    <w:pPr>
      <w:numPr>
        <w:numId w:val="5"/>
      </w:numPr>
      <w:tabs>
        <w:tab w:val="clear" w:pos="1428"/>
      </w:tabs>
      <w:spacing w:line="360" w:lineRule="auto"/>
      <w:ind w:left="0" w:firstLine="0"/>
      <w:jc w:val="both"/>
    </w:pPr>
    <w:rPr>
      <w:rFonts w:ascii="Times New Roman" w:eastAsia="Times New Roman" w:hAnsi="Times New Roman" w:cs="Times New Roman"/>
      <w:sz w:val="24"/>
      <w:szCs w:val="24"/>
    </w:rPr>
  </w:style>
  <w:style w:type="paragraph" w:styleId="Commarcadores2">
    <w:name w:val="List Bullet 2"/>
    <w:basedOn w:val="Normal"/>
    <w:autoRedefine/>
    <w:rsid w:val="005B41AC"/>
    <w:pPr>
      <w:spacing w:line="360" w:lineRule="auto"/>
      <w:ind w:left="1080"/>
      <w:jc w:val="both"/>
    </w:pPr>
    <w:rPr>
      <w:rFonts w:ascii="Times New Roman" w:eastAsia="Times New Roman" w:hAnsi="Times New Roman" w:cs="Times New Roman"/>
      <w:bCs/>
      <w:sz w:val="24"/>
      <w:szCs w:val="20"/>
    </w:rPr>
  </w:style>
  <w:style w:type="paragraph" w:styleId="Commarcadores3">
    <w:name w:val="List Bullet 3"/>
    <w:basedOn w:val="Normal"/>
    <w:autoRedefine/>
    <w:rsid w:val="005B41AC"/>
    <w:pPr>
      <w:numPr>
        <w:ilvl w:val="7"/>
        <w:numId w:val="4"/>
      </w:numPr>
      <w:tabs>
        <w:tab w:val="clear" w:pos="2880"/>
      </w:tabs>
      <w:spacing w:line="240" w:lineRule="auto"/>
      <w:ind w:left="0" w:firstLine="0"/>
      <w:jc w:val="both"/>
    </w:pPr>
    <w:rPr>
      <w:rFonts w:ascii="Times New Roman" w:eastAsia="Times New Roman" w:hAnsi="Times New Roman" w:cs="Times New Roman"/>
      <w:bCs/>
      <w:sz w:val="24"/>
      <w:szCs w:val="24"/>
    </w:rPr>
  </w:style>
  <w:style w:type="paragraph" w:styleId="Commarcadores4">
    <w:name w:val="List Bullet 4"/>
    <w:basedOn w:val="Normal"/>
    <w:autoRedefine/>
    <w:rsid w:val="005B41AC"/>
    <w:pPr>
      <w:numPr>
        <w:numId w:val="3"/>
      </w:numPr>
      <w:tabs>
        <w:tab w:val="clear" w:pos="2190"/>
        <w:tab w:val="num" w:pos="2880"/>
      </w:tabs>
      <w:spacing w:line="240" w:lineRule="auto"/>
      <w:ind w:left="0" w:firstLine="0"/>
      <w:jc w:val="both"/>
    </w:pPr>
    <w:rPr>
      <w:rFonts w:ascii="Times New Roman" w:eastAsia="Times New Roman" w:hAnsi="Times New Roman" w:cs="Times New Roman"/>
      <w:bCs/>
      <w:sz w:val="24"/>
      <w:szCs w:val="24"/>
    </w:rPr>
  </w:style>
  <w:style w:type="paragraph" w:styleId="Listadecontinuao">
    <w:name w:val="List Continue"/>
    <w:basedOn w:val="Normal"/>
    <w:rsid w:val="005B41AC"/>
    <w:pPr>
      <w:spacing w:after="120" w:line="240" w:lineRule="auto"/>
      <w:ind w:left="283"/>
    </w:pPr>
    <w:rPr>
      <w:rFonts w:ascii="Times New Roman" w:eastAsia="Times New Roman" w:hAnsi="Times New Roman" w:cs="Times New Roman"/>
      <w:sz w:val="24"/>
      <w:szCs w:val="24"/>
    </w:rPr>
  </w:style>
  <w:style w:type="paragraph" w:styleId="Listadecontinuao2">
    <w:name w:val="List Continue 2"/>
    <w:basedOn w:val="Normal"/>
    <w:rsid w:val="005B41AC"/>
    <w:pPr>
      <w:spacing w:after="120" w:line="240" w:lineRule="auto"/>
      <w:ind w:left="566"/>
    </w:pPr>
    <w:rPr>
      <w:rFonts w:ascii="Times New Roman" w:eastAsia="Times New Roman" w:hAnsi="Times New Roman" w:cs="Times New Roman"/>
      <w:sz w:val="24"/>
      <w:szCs w:val="24"/>
    </w:rPr>
  </w:style>
  <w:style w:type="paragraph" w:styleId="Listadecontinuao3">
    <w:name w:val="List Continue 3"/>
    <w:basedOn w:val="Normal"/>
    <w:rsid w:val="005B41AC"/>
    <w:pPr>
      <w:spacing w:after="120" w:line="240" w:lineRule="auto"/>
      <w:ind w:left="849"/>
    </w:pPr>
    <w:rPr>
      <w:rFonts w:ascii="Times New Roman" w:eastAsia="Times New Roman" w:hAnsi="Times New Roman" w:cs="Times New Roman"/>
      <w:sz w:val="24"/>
      <w:szCs w:val="24"/>
    </w:rPr>
  </w:style>
  <w:style w:type="paragraph" w:styleId="Listadecontinuao4">
    <w:name w:val="List Continue 4"/>
    <w:basedOn w:val="Normal"/>
    <w:rsid w:val="005B41AC"/>
    <w:pPr>
      <w:spacing w:after="120" w:line="240" w:lineRule="auto"/>
      <w:ind w:left="1132"/>
    </w:pPr>
    <w:rPr>
      <w:rFonts w:ascii="Times New Roman" w:eastAsia="Times New Roman" w:hAnsi="Times New Roman" w:cs="Times New Roman"/>
      <w:sz w:val="24"/>
      <w:szCs w:val="24"/>
    </w:rPr>
  </w:style>
  <w:style w:type="paragraph" w:styleId="Listadecontinuao5">
    <w:name w:val="List Continue 5"/>
    <w:basedOn w:val="Normal"/>
    <w:rsid w:val="005B41AC"/>
    <w:pPr>
      <w:spacing w:after="120" w:line="240" w:lineRule="auto"/>
      <w:ind w:left="1415"/>
    </w:pPr>
    <w:rPr>
      <w:rFonts w:ascii="Times New Roman" w:eastAsia="Times New Roman" w:hAnsi="Times New Roman" w:cs="Times New Roman"/>
      <w:sz w:val="24"/>
      <w:szCs w:val="24"/>
    </w:rPr>
  </w:style>
  <w:style w:type="paragraph" w:styleId="Corpodetexto">
    <w:name w:val="Body Text"/>
    <w:basedOn w:val="Normal"/>
    <w:link w:val="CorpodetextoChar"/>
    <w:uiPriority w:val="1"/>
    <w:qFormat/>
    <w:rsid w:val="005B41AC"/>
    <w:pPr>
      <w:spacing w:after="120"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1"/>
    <w:rsid w:val="005B41AC"/>
    <w:rPr>
      <w:rFonts w:ascii="Times New Roman" w:eastAsia="Times New Roman" w:hAnsi="Times New Roman" w:cs="Times New Roman"/>
      <w:sz w:val="24"/>
      <w:szCs w:val="24"/>
    </w:rPr>
  </w:style>
  <w:style w:type="paragraph" w:styleId="Corpodetexto2">
    <w:name w:val="Body Text 2"/>
    <w:basedOn w:val="Normal"/>
    <w:link w:val="Corpodetexto2Char"/>
    <w:rsid w:val="005B41AC"/>
    <w:pPr>
      <w:spacing w:line="240" w:lineRule="auto"/>
      <w:jc w:val="center"/>
    </w:pPr>
    <w:rPr>
      <w:rFonts w:ascii="Times New Roman" w:eastAsia="Times New Roman" w:hAnsi="Times New Roman" w:cs="Times New Roman"/>
      <w:b/>
      <w:sz w:val="24"/>
      <w:szCs w:val="24"/>
    </w:rPr>
  </w:style>
  <w:style w:type="character" w:customStyle="1" w:styleId="Corpodetexto2Char">
    <w:name w:val="Corpo de texto 2 Char"/>
    <w:basedOn w:val="Fontepargpadro"/>
    <w:link w:val="Corpodetexto2"/>
    <w:rsid w:val="005B41AC"/>
    <w:rPr>
      <w:rFonts w:ascii="Times New Roman" w:eastAsia="Times New Roman" w:hAnsi="Times New Roman" w:cs="Times New Roman"/>
      <w:b/>
      <w:sz w:val="24"/>
      <w:szCs w:val="24"/>
    </w:rPr>
  </w:style>
  <w:style w:type="paragraph" w:styleId="Recuodecorpodetexto3">
    <w:name w:val="Body Text Indent 3"/>
    <w:basedOn w:val="Normal"/>
    <w:link w:val="Recuodecorpodetexto3Char"/>
    <w:rsid w:val="005B41AC"/>
    <w:pPr>
      <w:spacing w:line="240" w:lineRule="auto"/>
      <w:ind w:firstLine="708"/>
      <w:jc w:val="both"/>
    </w:pPr>
    <w:rPr>
      <w:rFonts w:ascii="Times New Roman" w:eastAsia="Times New Roman" w:hAnsi="Times New Roman" w:cs="Times New Roman"/>
      <w:sz w:val="24"/>
      <w:szCs w:val="20"/>
    </w:rPr>
  </w:style>
  <w:style w:type="character" w:customStyle="1" w:styleId="Recuodecorpodetexto3Char">
    <w:name w:val="Recuo de corpo de texto 3 Char"/>
    <w:basedOn w:val="Fontepargpadro"/>
    <w:link w:val="Recuodecorpodetexto3"/>
    <w:rsid w:val="005B41AC"/>
    <w:rPr>
      <w:rFonts w:ascii="Times New Roman" w:eastAsia="Times New Roman" w:hAnsi="Times New Roman" w:cs="Times New Roman"/>
      <w:sz w:val="24"/>
      <w:szCs w:val="20"/>
    </w:rPr>
  </w:style>
  <w:style w:type="paragraph" w:styleId="Corpodetexto3">
    <w:name w:val="Body Text 3"/>
    <w:basedOn w:val="Normal"/>
    <w:link w:val="Corpodetexto3Char"/>
    <w:rsid w:val="005B41AC"/>
    <w:pPr>
      <w:spacing w:line="240" w:lineRule="auto"/>
      <w:jc w:val="both"/>
    </w:pPr>
    <w:rPr>
      <w:rFonts w:ascii="Times New Roman" w:eastAsia="Times New Roman" w:hAnsi="Times New Roman" w:cs="Times New Roman"/>
      <w:sz w:val="24"/>
      <w:szCs w:val="24"/>
    </w:rPr>
  </w:style>
  <w:style w:type="character" w:customStyle="1" w:styleId="Corpodetexto3Char">
    <w:name w:val="Corpo de texto 3 Char"/>
    <w:basedOn w:val="Fontepargpadro"/>
    <w:link w:val="Corpodetexto3"/>
    <w:rsid w:val="005B41AC"/>
    <w:rPr>
      <w:rFonts w:ascii="Times New Roman" w:eastAsia="Times New Roman" w:hAnsi="Times New Roman" w:cs="Times New Roman"/>
      <w:sz w:val="24"/>
      <w:szCs w:val="24"/>
    </w:rPr>
  </w:style>
  <w:style w:type="character" w:styleId="Nmerodepgina">
    <w:name w:val="page number"/>
    <w:basedOn w:val="Fontepargpadro"/>
    <w:rsid w:val="005B41AC"/>
  </w:style>
  <w:style w:type="paragraph" w:styleId="Recuodecorpodetexto">
    <w:name w:val="Body Text Indent"/>
    <w:basedOn w:val="Normal"/>
    <w:link w:val="RecuodecorpodetextoChar"/>
    <w:rsid w:val="005B41AC"/>
    <w:pPr>
      <w:spacing w:line="360" w:lineRule="auto"/>
      <w:ind w:left="708" w:hanging="168"/>
      <w:jc w:val="both"/>
    </w:pPr>
    <w:rPr>
      <w:rFonts w:ascii="Times New Roman" w:eastAsia="Times New Roman" w:hAnsi="Times New Roman" w:cs="Times New Roman"/>
      <w:sz w:val="24"/>
      <w:szCs w:val="24"/>
    </w:rPr>
  </w:style>
  <w:style w:type="character" w:customStyle="1" w:styleId="RecuodecorpodetextoChar">
    <w:name w:val="Recuo de corpo de texto Char"/>
    <w:basedOn w:val="Fontepargpadro"/>
    <w:link w:val="Recuodecorpodetexto"/>
    <w:rsid w:val="005B41AC"/>
    <w:rPr>
      <w:rFonts w:ascii="Times New Roman" w:eastAsia="Times New Roman" w:hAnsi="Times New Roman" w:cs="Times New Roman"/>
      <w:sz w:val="24"/>
      <w:szCs w:val="24"/>
    </w:rPr>
  </w:style>
  <w:style w:type="paragraph" w:customStyle="1" w:styleId="Estilo1">
    <w:name w:val="Estilo1"/>
    <w:basedOn w:val="Ttulo1"/>
    <w:rsid w:val="005B41AC"/>
    <w:pPr>
      <w:keepLines w:val="0"/>
      <w:spacing w:before="240" w:after="60" w:line="240" w:lineRule="auto"/>
      <w:jc w:val="center"/>
    </w:pPr>
    <w:rPr>
      <w:rFonts w:eastAsia="Times New Roman"/>
      <w:b/>
      <w:bCs/>
      <w:kern w:val="32"/>
      <w:sz w:val="32"/>
      <w:szCs w:val="32"/>
    </w:rPr>
  </w:style>
  <w:style w:type="paragraph" w:styleId="MapadoDocumento">
    <w:name w:val="Document Map"/>
    <w:basedOn w:val="Normal"/>
    <w:link w:val="MapadoDocumentoChar"/>
    <w:semiHidden/>
    <w:rsid w:val="005B41AC"/>
    <w:pPr>
      <w:shd w:val="clear" w:color="auto" w:fill="000080"/>
      <w:spacing w:line="240" w:lineRule="auto"/>
    </w:pPr>
    <w:rPr>
      <w:rFonts w:ascii="Tahoma" w:eastAsia="Times New Roman" w:hAnsi="Tahoma" w:cs="Tahoma"/>
      <w:sz w:val="24"/>
      <w:szCs w:val="24"/>
    </w:rPr>
  </w:style>
  <w:style w:type="character" w:customStyle="1" w:styleId="MapadoDocumentoChar">
    <w:name w:val="Mapa do Documento Char"/>
    <w:basedOn w:val="Fontepargpadro"/>
    <w:link w:val="MapadoDocumento"/>
    <w:semiHidden/>
    <w:rsid w:val="005B41AC"/>
    <w:rPr>
      <w:rFonts w:ascii="Tahoma" w:eastAsia="Times New Roman" w:hAnsi="Tahoma" w:cs="Tahoma"/>
      <w:sz w:val="24"/>
      <w:szCs w:val="24"/>
      <w:shd w:val="clear" w:color="auto" w:fill="000080"/>
    </w:rPr>
  </w:style>
  <w:style w:type="character" w:styleId="Refdecomentrio">
    <w:name w:val="annotation reference"/>
    <w:semiHidden/>
    <w:rsid w:val="005B41AC"/>
    <w:rPr>
      <w:sz w:val="16"/>
      <w:szCs w:val="16"/>
    </w:rPr>
  </w:style>
  <w:style w:type="paragraph" w:styleId="Textodecomentrio">
    <w:name w:val="annotation text"/>
    <w:basedOn w:val="Normal"/>
    <w:link w:val="TextodecomentrioChar"/>
    <w:semiHidden/>
    <w:rsid w:val="005B41AC"/>
    <w:pPr>
      <w:spacing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semiHidden/>
    <w:rsid w:val="005B41AC"/>
    <w:rPr>
      <w:rFonts w:ascii="Times New Roman" w:eastAsia="Times New Roman" w:hAnsi="Times New Roman" w:cs="Times New Roman"/>
      <w:sz w:val="20"/>
      <w:szCs w:val="20"/>
    </w:rPr>
  </w:style>
  <w:style w:type="paragraph" w:styleId="Textodebalo">
    <w:name w:val="Balloon Text"/>
    <w:basedOn w:val="Normal"/>
    <w:link w:val="TextodebaloChar"/>
    <w:semiHidden/>
    <w:rsid w:val="005B41AC"/>
    <w:pPr>
      <w:spacing w:line="240" w:lineRule="auto"/>
    </w:pPr>
    <w:rPr>
      <w:rFonts w:ascii="Tahoma" w:eastAsia="Times New Roman" w:hAnsi="Tahoma" w:cs="Tahoma"/>
      <w:sz w:val="16"/>
      <w:szCs w:val="16"/>
    </w:rPr>
  </w:style>
  <w:style w:type="character" w:customStyle="1" w:styleId="TextodebaloChar">
    <w:name w:val="Texto de balão Char"/>
    <w:basedOn w:val="Fontepargpadro"/>
    <w:link w:val="Textodebalo"/>
    <w:semiHidden/>
    <w:rsid w:val="005B41AC"/>
    <w:rPr>
      <w:rFonts w:ascii="Tahoma" w:eastAsia="Times New Roman" w:hAnsi="Tahoma" w:cs="Tahoma"/>
      <w:sz w:val="16"/>
      <w:szCs w:val="16"/>
    </w:rPr>
  </w:style>
  <w:style w:type="paragraph" w:customStyle="1" w:styleId="Default">
    <w:name w:val="Default"/>
    <w:rsid w:val="005B41AC"/>
    <w:pPr>
      <w:autoSpaceDE w:val="0"/>
      <w:autoSpaceDN w:val="0"/>
      <w:adjustRightInd w:val="0"/>
      <w:spacing w:line="240" w:lineRule="auto"/>
    </w:pPr>
    <w:rPr>
      <w:rFonts w:ascii="Times New Roman" w:eastAsia="Times New Roman" w:hAnsi="Times New Roman" w:cs="Times New Roman"/>
      <w:color w:val="000000"/>
      <w:sz w:val="24"/>
      <w:szCs w:val="24"/>
    </w:rPr>
  </w:style>
  <w:style w:type="paragraph" w:styleId="Assuntodocomentrio">
    <w:name w:val="annotation subject"/>
    <w:basedOn w:val="Textodecomentrio"/>
    <w:next w:val="Textodecomentrio"/>
    <w:link w:val="AssuntodocomentrioChar"/>
    <w:rsid w:val="005B41AC"/>
    <w:rPr>
      <w:b/>
      <w:bCs/>
    </w:rPr>
  </w:style>
  <w:style w:type="character" w:customStyle="1" w:styleId="AssuntodocomentrioChar">
    <w:name w:val="Assunto do comentário Char"/>
    <w:basedOn w:val="TextodecomentrioChar"/>
    <w:link w:val="Assuntodocomentrio"/>
    <w:rsid w:val="005B41AC"/>
    <w:rPr>
      <w:rFonts w:ascii="Times New Roman" w:eastAsia="Times New Roman" w:hAnsi="Times New Roman" w:cs="Times New Roman"/>
      <w:b/>
      <w:bCs/>
      <w:sz w:val="20"/>
      <w:szCs w:val="20"/>
    </w:rPr>
  </w:style>
  <w:style w:type="character" w:customStyle="1" w:styleId="ng-star-inserted">
    <w:name w:val="ng-star-inserted"/>
    <w:basedOn w:val="Fontepargpadro"/>
    <w:rsid w:val="005B41AC"/>
  </w:style>
  <w:style w:type="character" w:styleId="HiperlinkVisitado">
    <w:name w:val="FollowedHyperlink"/>
    <w:basedOn w:val="Fontepargpadro"/>
    <w:rsid w:val="005B41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537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sil.un.org/pt-br/91223-onu-e-o-meio-ambiente" TargetMode="External"/><Relationship Id="rId13" Type="http://schemas.openxmlformats.org/officeDocument/2006/relationships/hyperlink" Target="https://www.natura.com.br/blog/mais-natura/natura-e-uma-das-empresas-mais-sustentaveis-do-mund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wribrasil.org.br/noticias/entenda-ghg-protocol-tres-escopos-inventarios-corporativos" TargetMode="External"/><Relationship Id="rId12" Type="http://schemas.openxmlformats.org/officeDocument/2006/relationships/hyperlink" Target="https://focope.com.br/ama-produto-social-da-ambev-leva-agua-potavel-a-1-milhao-de-brasileiros/%3e." TargetMode="External"/><Relationship Id="rId17" Type="http://schemas.openxmlformats.org/officeDocument/2006/relationships/hyperlink" Target="https://www.un.org/en/conferences/environment/stockholm1972" TargetMode="External"/><Relationship Id="rId2" Type="http://schemas.openxmlformats.org/officeDocument/2006/relationships/styles" Target="styles.xml"/><Relationship Id="rId16" Type="http://schemas.openxmlformats.org/officeDocument/2006/relationships/hyperlink" Target="https://sustentabilidade.petrobras.com.br/"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eriodicos.uffs.edu.br/index.php/RGES/article/view/15182" TargetMode="External"/><Relationship Id="rId5" Type="http://schemas.openxmlformats.org/officeDocument/2006/relationships/footnotes" Target="footnotes.xml"/><Relationship Id="rId15" Type="http://schemas.openxmlformats.org/officeDocument/2006/relationships/hyperlink" Target="https://ri.natura.com.br/sustentabilidade/relatorios-anuais/" TargetMode="External"/><Relationship Id="rId10" Type="http://schemas.openxmlformats.org/officeDocument/2006/relationships/hyperlink" Target="https://inbec.com.br/blog/certificacoes-ambientais-esg-caminho-para-um-futuro-sustentave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i.ambev.com.br/relatorios-publicacoes/relatorios-anuais-e-sustentabilidade/" TargetMode="External"/><Relationship Id="rId14" Type="http://schemas.openxmlformats.org/officeDocument/2006/relationships/hyperlink" Target="https://www.gov.br/mj/pt-br/assuntos/noticias/greenwashing-entenda-o-que-e-e-aprenda-a-se-defender-de-propagandas-falsa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5608</Words>
  <Characters>30289</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Win11</dc:creator>
  <cp:lastModifiedBy>Win11</cp:lastModifiedBy>
  <cp:revision>2</cp:revision>
  <dcterms:created xsi:type="dcterms:W3CDTF">2026-09-01T18:27:00Z</dcterms:created>
  <dcterms:modified xsi:type="dcterms:W3CDTF">2026-09-01T18:27:00Z</dcterms:modified>
</cp:coreProperties>
</file>